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227D" w14:textId="1A3EBA60" w:rsidR="009841C3" w:rsidRPr="0070761F" w:rsidRDefault="007B119E" w:rsidP="007B119E">
      <w:pPr>
        <w:jc w:val="center"/>
        <w:rPr>
          <w:b/>
          <w:bCs/>
          <w:color w:val="2F5496" w:themeColor="accent1" w:themeShade="BF"/>
          <w:sz w:val="40"/>
          <w:szCs w:val="40"/>
        </w:rPr>
      </w:pPr>
      <w:r w:rsidRPr="0070761F">
        <w:rPr>
          <w:b/>
          <w:bCs/>
          <w:color w:val="2F5496" w:themeColor="accent1" w:themeShade="BF"/>
          <w:sz w:val="40"/>
          <w:szCs w:val="40"/>
        </w:rPr>
        <w:t>2021-2025 Strategic Plan Review</w:t>
      </w:r>
    </w:p>
    <w:p w14:paraId="65339FCA" w14:textId="77777777" w:rsidR="00660F85" w:rsidRDefault="00660F85">
      <w:pPr>
        <w:rPr>
          <w:b/>
          <w:bCs/>
          <w:color w:val="2F5496" w:themeColor="accent1" w:themeShade="BF"/>
          <w:sz w:val="28"/>
          <w:szCs w:val="28"/>
        </w:rPr>
      </w:pPr>
    </w:p>
    <w:p w14:paraId="3718801A" w14:textId="075BBB78" w:rsidR="007B119E" w:rsidRPr="0070761F" w:rsidRDefault="00F7467E">
      <w:pPr>
        <w:rPr>
          <w:b/>
          <w:bCs/>
          <w:color w:val="2F5496" w:themeColor="accent1" w:themeShade="BF"/>
          <w:sz w:val="28"/>
          <w:szCs w:val="28"/>
        </w:rPr>
      </w:pPr>
      <w:r w:rsidRPr="0070761F">
        <w:rPr>
          <w:b/>
          <w:bCs/>
          <w:color w:val="2F5496" w:themeColor="accent1" w:themeShade="BF"/>
          <w:sz w:val="28"/>
          <w:szCs w:val="28"/>
        </w:rPr>
        <w:t>Services</w:t>
      </w:r>
    </w:p>
    <w:p w14:paraId="4FB289F3" w14:textId="7D3E0541" w:rsidR="00090C02" w:rsidRDefault="00F7467E">
      <w:pPr>
        <w:rPr>
          <w:color w:val="2F5496" w:themeColor="accent1" w:themeShade="BF"/>
        </w:rPr>
      </w:pPr>
      <w:r w:rsidRPr="004C44FB">
        <w:rPr>
          <w:color w:val="2F5496" w:themeColor="accent1" w:themeShade="BF"/>
        </w:rPr>
        <w:t>The provision of services is at the heart of what Warman, and any municipality, does to improve the quality of life of its citizens. In the next four years</w:t>
      </w:r>
      <w:r w:rsidR="00EF5C76" w:rsidRPr="004C44FB">
        <w:rPr>
          <w:color w:val="2F5496" w:themeColor="accent1" w:themeShade="BF"/>
        </w:rPr>
        <w:t>.</w:t>
      </w:r>
      <w:r w:rsidR="00A10409">
        <w:rPr>
          <w:color w:val="2F5496" w:themeColor="accent1" w:themeShade="BF"/>
        </w:rPr>
        <w:t xml:space="preserve"> (Expected completion:</w:t>
      </w:r>
      <w:r w:rsidR="00A10409" w:rsidRPr="00364F3B">
        <w:rPr>
          <w:color w:val="FF0000"/>
        </w:rPr>
        <w:t xml:space="preserve"> Red</w:t>
      </w:r>
      <w:r w:rsidR="00A10409">
        <w:rPr>
          <w:color w:val="2F5496" w:themeColor="accent1" w:themeShade="BF"/>
        </w:rPr>
        <w:t>-</w:t>
      </w:r>
      <w:r w:rsidR="00A34AFB">
        <w:rPr>
          <w:color w:val="2F5496" w:themeColor="accent1" w:themeShade="BF"/>
        </w:rPr>
        <w:t>outcome missed,</w:t>
      </w:r>
      <w:r w:rsidR="00A10409">
        <w:rPr>
          <w:color w:val="2F5496" w:themeColor="accent1" w:themeShade="BF"/>
        </w:rPr>
        <w:t xml:space="preserve"> </w:t>
      </w:r>
      <w:r w:rsidR="00A10409" w:rsidRPr="00364F3B">
        <w:rPr>
          <w:color w:val="00B050"/>
        </w:rPr>
        <w:t>Green</w:t>
      </w:r>
      <w:r w:rsidR="00A10409">
        <w:rPr>
          <w:color w:val="2F5496" w:themeColor="accent1" w:themeShade="BF"/>
        </w:rPr>
        <w:t xml:space="preserve"> complete, </w:t>
      </w:r>
      <w:r w:rsidR="00660F85" w:rsidRPr="00660F85">
        <w:rPr>
          <w:color w:val="ED7D31" w:themeColor="accent2"/>
        </w:rPr>
        <w:t>Orange</w:t>
      </w:r>
      <w:r w:rsidR="00A10409">
        <w:rPr>
          <w:color w:val="2F5496" w:themeColor="accent1" w:themeShade="BF"/>
        </w:rPr>
        <w:t>-</w:t>
      </w:r>
      <w:r w:rsidR="00A34AFB">
        <w:rPr>
          <w:color w:val="2F5496" w:themeColor="accent1" w:themeShade="BF"/>
        </w:rPr>
        <w:t>substantially advanced.</w:t>
      </w:r>
      <w:r w:rsidR="00A10409">
        <w:rPr>
          <w:color w:val="2F5496" w:themeColor="accent1" w:themeShade="BF"/>
        </w:rPr>
        <w:t>)</w:t>
      </w:r>
    </w:p>
    <w:p w14:paraId="631C55A3" w14:textId="668D285B" w:rsidR="00E83724" w:rsidRDefault="00E83724">
      <w:pPr>
        <w:rPr>
          <w:b/>
          <w:bCs/>
          <w:color w:val="2F5496" w:themeColor="accent1" w:themeShade="BF"/>
        </w:rPr>
      </w:pPr>
      <w:r>
        <w:rPr>
          <w:b/>
          <w:bCs/>
          <w:color w:val="2F5496" w:themeColor="accent1" w:themeShade="BF"/>
        </w:rPr>
        <w:t>Status Description</w:t>
      </w:r>
    </w:p>
    <w:p w14:paraId="769B6852" w14:textId="77777777" w:rsidR="00554D3A" w:rsidRPr="00554D3A" w:rsidRDefault="002E2166" w:rsidP="00554D3A">
      <w:pPr>
        <w:pStyle w:val="NoSpacing"/>
        <w:rPr>
          <w:color w:val="1F4E79" w:themeColor="accent5" w:themeShade="80"/>
        </w:rPr>
      </w:pPr>
      <w:r w:rsidRPr="00554D3A">
        <w:rPr>
          <w:b/>
          <w:bCs/>
          <w:color w:val="1F4E79" w:themeColor="accent5" w:themeShade="80"/>
        </w:rPr>
        <w:t>Complete</w:t>
      </w:r>
      <w:r w:rsidRPr="00554D3A">
        <w:rPr>
          <w:color w:val="1F4E79" w:themeColor="accent5" w:themeShade="80"/>
        </w:rPr>
        <w:t xml:space="preserve"> = Strategic initiative achieved or embedded into regular operations</w:t>
      </w:r>
      <w:r w:rsidRPr="00554D3A">
        <w:rPr>
          <w:color w:val="1F4E79" w:themeColor="accent5" w:themeShade="80"/>
        </w:rPr>
        <w:br/>
      </w:r>
      <w:r w:rsidRPr="00554D3A">
        <w:rPr>
          <w:b/>
          <w:bCs/>
          <w:color w:val="1F4E79" w:themeColor="accent5" w:themeShade="80"/>
        </w:rPr>
        <w:t>Substantially Advanced</w:t>
      </w:r>
      <w:r w:rsidRPr="00554D3A">
        <w:rPr>
          <w:color w:val="1F4E79" w:themeColor="accent5" w:themeShade="80"/>
        </w:rPr>
        <w:t xml:space="preserve"> = Meaningful progress made; work continues beyond plan period</w:t>
      </w:r>
      <w:r w:rsidRPr="00554D3A">
        <w:rPr>
          <w:color w:val="1F4E79" w:themeColor="accent5" w:themeShade="80"/>
        </w:rPr>
        <w:br/>
      </w:r>
      <w:r w:rsidRPr="00554D3A">
        <w:rPr>
          <w:b/>
          <w:bCs/>
          <w:color w:val="1F4E79" w:themeColor="accent5" w:themeShade="80"/>
        </w:rPr>
        <w:t>Ongoing</w:t>
      </w:r>
      <w:r w:rsidRPr="00554D3A">
        <w:rPr>
          <w:color w:val="1F4E79" w:themeColor="accent5" w:themeShade="80"/>
        </w:rPr>
        <w:t xml:space="preserve"> = Long-term municipal responsibility</w:t>
      </w:r>
    </w:p>
    <w:p w14:paraId="45C99EE0" w14:textId="77777777" w:rsidR="00554D3A" w:rsidRPr="00554D3A" w:rsidRDefault="00554D3A" w:rsidP="00554D3A">
      <w:pPr>
        <w:pStyle w:val="NoSpacing"/>
        <w:rPr>
          <w:color w:val="1F4E79" w:themeColor="accent5" w:themeShade="80"/>
        </w:rPr>
      </w:pPr>
    </w:p>
    <w:tbl>
      <w:tblPr>
        <w:tblStyle w:val="TableGrid"/>
        <w:tblW w:w="0" w:type="auto"/>
        <w:tblLook w:val="04A0" w:firstRow="1" w:lastRow="0" w:firstColumn="1" w:lastColumn="0" w:noHBand="0" w:noVBand="1"/>
      </w:tblPr>
      <w:tblGrid>
        <w:gridCol w:w="2500"/>
        <w:gridCol w:w="1991"/>
        <w:gridCol w:w="1450"/>
        <w:gridCol w:w="3409"/>
      </w:tblGrid>
      <w:tr w:rsidR="009958C3" w14:paraId="3C221313" w14:textId="77777777" w:rsidTr="00B86ADE">
        <w:tc>
          <w:tcPr>
            <w:tcW w:w="2503" w:type="dxa"/>
            <w:shd w:val="clear" w:color="auto" w:fill="A8D08D" w:themeFill="accent6" w:themeFillTint="99"/>
          </w:tcPr>
          <w:p w14:paraId="78A34A19" w14:textId="6C415AA4" w:rsidR="009958C3" w:rsidRDefault="009958C3">
            <w:bookmarkStart w:id="0" w:name="_Hlk115262947"/>
            <w:r>
              <w:t>Initiative</w:t>
            </w:r>
          </w:p>
        </w:tc>
        <w:tc>
          <w:tcPr>
            <w:tcW w:w="1992" w:type="dxa"/>
            <w:shd w:val="clear" w:color="auto" w:fill="A8D08D" w:themeFill="accent6" w:themeFillTint="99"/>
          </w:tcPr>
          <w:p w14:paraId="2B5E92FA" w14:textId="570A1E14" w:rsidR="009958C3" w:rsidRDefault="009958C3">
            <w:r>
              <w:t>Department/Lead</w:t>
            </w:r>
          </w:p>
        </w:tc>
        <w:tc>
          <w:tcPr>
            <w:tcW w:w="1440" w:type="dxa"/>
            <w:shd w:val="clear" w:color="auto" w:fill="A8D08D" w:themeFill="accent6" w:themeFillTint="99"/>
          </w:tcPr>
          <w:p w14:paraId="4A694B2A" w14:textId="68F07E70" w:rsidR="009958C3" w:rsidRDefault="009958C3">
            <w:r>
              <w:t>Expected Completion</w:t>
            </w:r>
          </w:p>
        </w:tc>
        <w:tc>
          <w:tcPr>
            <w:tcW w:w="3415" w:type="dxa"/>
            <w:shd w:val="clear" w:color="auto" w:fill="A8D08D" w:themeFill="accent6" w:themeFillTint="99"/>
          </w:tcPr>
          <w:p w14:paraId="663937E4" w14:textId="4E486576" w:rsidR="009958C3" w:rsidRDefault="009958C3">
            <w:r>
              <w:t>Status</w:t>
            </w:r>
          </w:p>
        </w:tc>
      </w:tr>
      <w:bookmarkEnd w:id="0"/>
      <w:tr w:rsidR="009958C3" w14:paraId="0F183E6B" w14:textId="77777777" w:rsidTr="003D5221">
        <w:tc>
          <w:tcPr>
            <w:tcW w:w="2503" w:type="dxa"/>
            <w:shd w:val="clear" w:color="auto" w:fill="E2EFD9" w:themeFill="accent6" w:themeFillTint="33"/>
          </w:tcPr>
          <w:p w14:paraId="3E8C06FD" w14:textId="72F87560" w:rsidR="009958C3" w:rsidRDefault="009958C3">
            <w:r>
              <w:t>Maintain the high quality and affordability of city services</w:t>
            </w:r>
          </w:p>
        </w:tc>
        <w:tc>
          <w:tcPr>
            <w:tcW w:w="1992" w:type="dxa"/>
            <w:shd w:val="clear" w:color="auto" w:fill="FBE4D5" w:themeFill="accent2" w:themeFillTint="33"/>
          </w:tcPr>
          <w:p w14:paraId="1CF4E431" w14:textId="626ED929" w:rsidR="009958C3" w:rsidRDefault="009958C3">
            <w:r>
              <w:t>All</w:t>
            </w:r>
          </w:p>
        </w:tc>
        <w:tc>
          <w:tcPr>
            <w:tcW w:w="1440" w:type="dxa"/>
            <w:shd w:val="clear" w:color="auto" w:fill="70AD47" w:themeFill="accent6"/>
          </w:tcPr>
          <w:p w14:paraId="672EDD82" w14:textId="5B3B4E52" w:rsidR="009958C3" w:rsidRPr="002E2166" w:rsidRDefault="003D5221">
            <w:pPr>
              <w:rPr>
                <w:b/>
                <w:bCs/>
              </w:rPr>
            </w:pPr>
            <w:r w:rsidRPr="002E2166">
              <w:rPr>
                <w:b/>
                <w:bCs/>
              </w:rPr>
              <w:t>2025 – Ongoing operational responsibility</w:t>
            </w:r>
          </w:p>
        </w:tc>
        <w:tc>
          <w:tcPr>
            <w:tcW w:w="3415" w:type="dxa"/>
            <w:shd w:val="clear" w:color="auto" w:fill="D0CECE" w:themeFill="background2" w:themeFillShade="E6"/>
          </w:tcPr>
          <w:p w14:paraId="79E2DBD4" w14:textId="05584395" w:rsidR="009958C3" w:rsidRDefault="002E2166">
            <w:r w:rsidRPr="002E2166">
              <w:rPr>
                <w:b/>
                <w:bCs/>
              </w:rPr>
              <w:t>Complete – Embedded into regular operations.</w:t>
            </w:r>
            <w:r w:rsidRPr="002E2166">
              <w:t xml:space="preserve"> Administration now conducts routine fee and service reviews as part of standard financial management practices.</w:t>
            </w:r>
          </w:p>
        </w:tc>
      </w:tr>
      <w:tr w:rsidR="009958C3" w14:paraId="173EC80B" w14:textId="77777777" w:rsidTr="003D5221">
        <w:tc>
          <w:tcPr>
            <w:tcW w:w="2503" w:type="dxa"/>
            <w:shd w:val="clear" w:color="auto" w:fill="E2EFD9" w:themeFill="accent6" w:themeFillTint="33"/>
          </w:tcPr>
          <w:p w14:paraId="301F3FA7" w14:textId="0C88C2E5" w:rsidR="009958C3" w:rsidRDefault="009958C3">
            <w:r>
              <w:t>Secure a funding commitment for local medical response</w:t>
            </w:r>
          </w:p>
        </w:tc>
        <w:tc>
          <w:tcPr>
            <w:tcW w:w="1992" w:type="dxa"/>
            <w:shd w:val="clear" w:color="auto" w:fill="FBE4D5" w:themeFill="accent2" w:themeFillTint="33"/>
          </w:tcPr>
          <w:p w14:paraId="39D9A6A9" w14:textId="30A9995B" w:rsidR="009958C3" w:rsidRDefault="009958C3">
            <w:r>
              <w:t>City Manager/Fire Chief</w:t>
            </w:r>
          </w:p>
        </w:tc>
        <w:tc>
          <w:tcPr>
            <w:tcW w:w="1440" w:type="dxa"/>
            <w:shd w:val="clear" w:color="auto" w:fill="70AD47" w:themeFill="accent6"/>
          </w:tcPr>
          <w:p w14:paraId="47F84371" w14:textId="24D55E05" w:rsidR="009958C3" w:rsidRPr="002E2166" w:rsidRDefault="002E2166">
            <w:pPr>
              <w:rPr>
                <w:b/>
                <w:bCs/>
              </w:rPr>
            </w:pPr>
            <w:r w:rsidRPr="002E2166">
              <w:rPr>
                <w:b/>
                <w:bCs/>
              </w:rPr>
              <w:t xml:space="preserve">2025 – Advocacy ongoing </w:t>
            </w:r>
          </w:p>
        </w:tc>
        <w:tc>
          <w:tcPr>
            <w:tcW w:w="3415" w:type="dxa"/>
            <w:shd w:val="clear" w:color="auto" w:fill="D0CECE" w:themeFill="background2" w:themeFillShade="E6"/>
          </w:tcPr>
          <w:p w14:paraId="6DDB75B0" w14:textId="323542E1" w:rsidR="009958C3" w:rsidRDefault="002E2166">
            <w:r w:rsidRPr="002E2166">
              <w:rPr>
                <w:b/>
                <w:bCs/>
              </w:rPr>
              <w:t>Substantially Advanced.</w:t>
            </w:r>
            <w:r w:rsidRPr="002E2166">
              <w:t xml:space="preserve"> Advocacy contributed to improved regional emergency response capacity, including an ambulance presence and facility investment in Martensville. Direct municipal funding was not secured; however, regional service access improved. Advocacy continues as part of ongoing intergovernmental relations.</w:t>
            </w:r>
          </w:p>
        </w:tc>
      </w:tr>
      <w:tr w:rsidR="009958C3" w14:paraId="5145C479" w14:textId="77777777" w:rsidTr="002E2166">
        <w:tc>
          <w:tcPr>
            <w:tcW w:w="2503" w:type="dxa"/>
            <w:shd w:val="clear" w:color="auto" w:fill="E2EFD9" w:themeFill="accent6" w:themeFillTint="33"/>
          </w:tcPr>
          <w:p w14:paraId="5E8CFF13" w14:textId="409C0691" w:rsidR="009958C3" w:rsidRDefault="009958C3">
            <w:r>
              <w:t>Examine new practices for waste reduction and recycling opportunities</w:t>
            </w:r>
          </w:p>
        </w:tc>
        <w:tc>
          <w:tcPr>
            <w:tcW w:w="1992" w:type="dxa"/>
            <w:shd w:val="clear" w:color="auto" w:fill="FBE4D5" w:themeFill="accent2" w:themeFillTint="33"/>
          </w:tcPr>
          <w:p w14:paraId="622254C4" w14:textId="5A2000DE" w:rsidR="009958C3" w:rsidRDefault="009A24B3">
            <w:r>
              <w:t>Finance</w:t>
            </w:r>
          </w:p>
        </w:tc>
        <w:tc>
          <w:tcPr>
            <w:tcW w:w="1440" w:type="dxa"/>
            <w:shd w:val="clear" w:color="auto" w:fill="70AD47" w:themeFill="accent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E2166" w:rsidRPr="002E2166" w14:paraId="5CB3F273" w14:textId="77777777">
              <w:trPr>
                <w:tblCellSpacing w:w="15" w:type="dxa"/>
              </w:trPr>
              <w:tc>
                <w:tcPr>
                  <w:tcW w:w="0" w:type="auto"/>
                  <w:vAlign w:val="center"/>
                  <w:hideMark/>
                </w:tcPr>
                <w:p w14:paraId="2818DBC6" w14:textId="77777777" w:rsidR="002E2166" w:rsidRPr="002E2166" w:rsidRDefault="002E2166" w:rsidP="002E2166">
                  <w:pPr>
                    <w:spacing w:after="0" w:line="240" w:lineRule="auto"/>
                    <w:rPr>
                      <w:lang w:val="en-CA"/>
                    </w:rPr>
                  </w:pPr>
                </w:p>
              </w:tc>
            </w:tr>
          </w:tbl>
          <w:p w14:paraId="7E691677" w14:textId="77777777" w:rsidR="002E2166" w:rsidRPr="002E2166" w:rsidRDefault="002E2166" w:rsidP="002E2166">
            <w:pPr>
              <w:rPr>
                <w:vanish/>
                <w:lang w:val="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4"/>
            </w:tblGrid>
            <w:tr w:rsidR="002E2166" w:rsidRPr="002E2166" w14:paraId="49C30EA8" w14:textId="77777777">
              <w:trPr>
                <w:tblCellSpacing w:w="15" w:type="dxa"/>
              </w:trPr>
              <w:tc>
                <w:tcPr>
                  <w:tcW w:w="0" w:type="auto"/>
                  <w:vAlign w:val="center"/>
                  <w:hideMark/>
                </w:tcPr>
                <w:p w14:paraId="208FDAA1" w14:textId="77777777" w:rsidR="002E2166" w:rsidRPr="002E2166" w:rsidRDefault="002E2166" w:rsidP="002E2166">
                  <w:pPr>
                    <w:spacing w:after="0" w:line="240" w:lineRule="auto"/>
                    <w:rPr>
                      <w:lang w:val="en-CA"/>
                    </w:rPr>
                  </w:pPr>
                  <w:r w:rsidRPr="002E2166">
                    <w:rPr>
                      <w:b/>
                      <w:bCs/>
                      <w:lang w:val="en-CA"/>
                    </w:rPr>
                    <w:t>2025 (Policy direction dependent)</w:t>
                  </w:r>
                </w:p>
              </w:tc>
            </w:tr>
          </w:tbl>
          <w:p w14:paraId="2BE89EE9" w14:textId="76E0C600" w:rsidR="009958C3" w:rsidRDefault="009958C3"/>
        </w:tc>
        <w:tc>
          <w:tcPr>
            <w:tcW w:w="3415" w:type="dxa"/>
            <w:shd w:val="clear" w:color="auto" w:fill="D0CECE" w:themeFill="background2" w:themeFillShade="E6"/>
          </w:tcPr>
          <w:p w14:paraId="5A1ACD60" w14:textId="1C0EAC67" w:rsidR="009958C3" w:rsidRDefault="002E2166">
            <w:r w:rsidRPr="002E2166">
              <w:rPr>
                <w:b/>
                <w:bCs/>
              </w:rPr>
              <w:t xml:space="preserve">Reviewed – No </w:t>
            </w:r>
            <w:r w:rsidR="00FD317B">
              <w:rPr>
                <w:b/>
                <w:bCs/>
              </w:rPr>
              <w:t>additional</w:t>
            </w:r>
            <w:r w:rsidRPr="002E2166">
              <w:rPr>
                <w:b/>
                <w:bCs/>
              </w:rPr>
              <w:t xml:space="preserve"> action directed.</w:t>
            </w:r>
            <w:r w:rsidRPr="002E2166">
              <w:t xml:space="preserve"> Existing diversion services were maintained. Additional initiatives were not advanced due to the absence of further Council policy direction. This area remains available for future strategic consideration.</w:t>
            </w:r>
          </w:p>
        </w:tc>
      </w:tr>
      <w:tr w:rsidR="009958C3" w14:paraId="5A85C588" w14:textId="77777777" w:rsidTr="002E2166">
        <w:tc>
          <w:tcPr>
            <w:tcW w:w="2503" w:type="dxa"/>
            <w:shd w:val="clear" w:color="auto" w:fill="E2EFD9" w:themeFill="accent6" w:themeFillTint="33"/>
          </w:tcPr>
          <w:p w14:paraId="7C8F45AC" w14:textId="5D65773E" w:rsidR="009958C3" w:rsidRDefault="009958C3">
            <w:bookmarkStart w:id="1" w:name="_Hlk115253223"/>
            <w:r>
              <w:t xml:space="preserve">Continue recreational investments in new </w:t>
            </w:r>
            <w:proofErr w:type="spellStart"/>
            <w:r>
              <w:t>neighbourhoods</w:t>
            </w:r>
            <w:proofErr w:type="spellEnd"/>
            <w:r>
              <w:t>, including responding to newcomer recreation needs and developing new ball diamonds. A master plan recreation, culture and parks, further outlines the City’s intentions in those areas.</w:t>
            </w:r>
            <w:bookmarkEnd w:id="1"/>
          </w:p>
        </w:tc>
        <w:tc>
          <w:tcPr>
            <w:tcW w:w="1992" w:type="dxa"/>
            <w:shd w:val="clear" w:color="auto" w:fill="FBE4D5" w:themeFill="accent2" w:themeFillTint="33"/>
          </w:tcPr>
          <w:p w14:paraId="1F70D105" w14:textId="4E11E42D" w:rsidR="009958C3" w:rsidRDefault="009958C3">
            <w:r>
              <w:t xml:space="preserve">Recreation </w:t>
            </w:r>
            <w:r w:rsidR="00910999">
              <w:t>&amp; Community Services</w:t>
            </w:r>
          </w:p>
        </w:tc>
        <w:tc>
          <w:tcPr>
            <w:tcW w:w="1440" w:type="dxa"/>
            <w:shd w:val="clear" w:color="auto" w:fill="70AD47" w:themeFill="accent6"/>
          </w:tcPr>
          <w:p w14:paraId="2A62EE27" w14:textId="1EBAA195" w:rsidR="009958C3" w:rsidRPr="002E2166" w:rsidRDefault="002E2166" w:rsidP="009818D1">
            <w:pPr>
              <w:rPr>
                <w:b/>
                <w:bCs/>
              </w:rPr>
            </w:pPr>
            <w:r w:rsidRPr="002E2166">
              <w:rPr>
                <w:b/>
                <w:bCs/>
              </w:rPr>
              <w:t>2025 – Ongoing growth-related responsibility</w:t>
            </w:r>
          </w:p>
        </w:tc>
        <w:tc>
          <w:tcPr>
            <w:tcW w:w="3415" w:type="dxa"/>
            <w:shd w:val="clear" w:color="auto" w:fill="D0CECE" w:themeFill="background2" w:themeFillShade="E6"/>
          </w:tcPr>
          <w:p w14:paraId="460F7845" w14:textId="79F8B00D" w:rsidR="009A24B3" w:rsidRPr="009A24B3" w:rsidRDefault="002E2166" w:rsidP="009818D1">
            <w:pPr>
              <w:rPr>
                <w:lang w:val="en-CA"/>
              </w:rPr>
            </w:pPr>
            <w:r>
              <w:rPr>
                <w:rStyle w:val="Strong"/>
              </w:rPr>
              <w:t>Substantially Advanced.</w:t>
            </w:r>
            <w:r>
              <w:t xml:space="preserve"> Recreation development in new </w:t>
            </w:r>
            <w:proofErr w:type="spellStart"/>
            <w:r>
              <w:t>neighbourhoods</w:t>
            </w:r>
            <w:proofErr w:type="spellEnd"/>
            <w:r>
              <w:t xml:space="preserve"> progressed in alignment with growth patterns and the Recreation, Culture and Parks Master Plan. Developer-led park developments (MR11, MR17, MR19) were completed during the </w:t>
            </w:r>
            <w:proofErr w:type="gramStart"/>
            <w:r>
              <w:t>plan</w:t>
            </w:r>
            <w:proofErr w:type="gramEnd"/>
            <w:r>
              <w:t xml:space="preserve"> period. Demand trends did not indicate a need for non-traditional newcomer recreation spaces; however, increased interest in court sports has informed future capital planning (pickleball expansion). This initiative has transitioned into standard long-range recreation and growth planning.</w:t>
            </w:r>
          </w:p>
        </w:tc>
      </w:tr>
    </w:tbl>
    <w:p w14:paraId="18D0767F" w14:textId="77777777" w:rsidR="00660F85" w:rsidRDefault="00660F85">
      <w:pPr>
        <w:rPr>
          <w:b/>
          <w:bCs/>
          <w:color w:val="2F5496" w:themeColor="accent1" w:themeShade="BF"/>
          <w:sz w:val="28"/>
          <w:szCs w:val="28"/>
        </w:rPr>
      </w:pPr>
    </w:p>
    <w:p w14:paraId="43217DC3" w14:textId="0886073D" w:rsidR="007B119E" w:rsidRPr="0070761F" w:rsidRDefault="00F7467E">
      <w:pPr>
        <w:rPr>
          <w:b/>
          <w:bCs/>
          <w:color w:val="2F5496" w:themeColor="accent1" w:themeShade="BF"/>
          <w:sz w:val="28"/>
          <w:szCs w:val="28"/>
        </w:rPr>
      </w:pPr>
      <w:r w:rsidRPr="0070761F">
        <w:rPr>
          <w:b/>
          <w:bCs/>
          <w:color w:val="2F5496" w:themeColor="accent1" w:themeShade="BF"/>
          <w:sz w:val="28"/>
          <w:szCs w:val="28"/>
        </w:rPr>
        <w:t>Infrastructure</w:t>
      </w:r>
    </w:p>
    <w:p w14:paraId="67412FBD" w14:textId="1AF29CCA" w:rsidR="00090C02" w:rsidRPr="004C44FB" w:rsidRDefault="00F7467E">
      <w:pPr>
        <w:rPr>
          <w:color w:val="2F5496" w:themeColor="accent1" w:themeShade="BF"/>
        </w:rPr>
      </w:pPr>
      <w:r w:rsidRPr="004C44FB">
        <w:rPr>
          <w:color w:val="2F5496" w:themeColor="accent1" w:themeShade="BF"/>
        </w:rPr>
        <w:t xml:space="preserve">Closely related to services is the development of infrastructure. The biggest expense for any municipality is capital spending. Investment in new infrastructure needs to be balanced against affordability in property and business taxes. As a fast-growing city, Warman continually has new needs. At the same time, the </w:t>
      </w:r>
      <w:r w:rsidR="00E80146" w:rsidRPr="004C44FB">
        <w:rPr>
          <w:color w:val="2F5496" w:themeColor="accent1" w:themeShade="BF"/>
        </w:rPr>
        <w:t>city</w:t>
      </w:r>
      <w:r w:rsidRPr="004C44FB">
        <w:rPr>
          <w:color w:val="2F5496" w:themeColor="accent1" w:themeShade="BF"/>
        </w:rPr>
        <w:t xml:space="preserve"> benefits from having overall newer and well-maintained facilities and roads.</w:t>
      </w:r>
    </w:p>
    <w:tbl>
      <w:tblPr>
        <w:tblStyle w:val="TableGrid"/>
        <w:tblW w:w="0" w:type="auto"/>
        <w:tblLook w:val="04A0" w:firstRow="1" w:lastRow="0" w:firstColumn="1" w:lastColumn="0" w:noHBand="0" w:noVBand="1"/>
      </w:tblPr>
      <w:tblGrid>
        <w:gridCol w:w="2421"/>
        <w:gridCol w:w="1876"/>
        <w:gridCol w:w="1692"/>
        <w:gridCol w:w="3361"/>
      </w:tblGrid>
      <w:tr w:rsidR="00B21573" w14:paraId="3CF568E4" w14:textId="77777777" w:rsidTr="00B86ADE">
        <w:tc>
          <w:tcPr>
            <w:tcW w:w="2457" w:type="dxa"/>
            <w:shd w:val="clear" w:color="auto" w:fill="A8D08D" w:themeFill="accent6" w:themeFillTint="99"/>
          </w:tcPr>
          <w:p w14:paraId="52960BD7" w14:textId="0809164F" w:rsidR="009958C3" w:rsidRDefault="009958C3" w:rsidP="008417D5">
            <w:r>
              <w:t>Initiative</w:t>
            </w:r>
          </w:p>
        </w:tc>
        <w:tc>
          <w:tcPr>
            <w:tcW w:w="1858" w:type="dxa"/>
            <w:shd w:val="clear" w:color="auto" w:fill="A8D08D" w:themeFill="accent6" w:themeFillTint="99"/>
          </w:tcPr>
          <w:p w14:paraId="61512420" w14:textId="5FA9924A" w:rsidR="009958C3" w:rsidRDefault="009958C3" w:rsidP="008417D5">
            <w:r>
              <w:t>Department/Lead</w:t>
            </w:r>
          </w:p>
        </w:tc>
        <w:tc>
          <w:tcPr>
            <w:tcW w:w="1620" w:type="dxa"/>
            <w:shd w:val="clear" w:color="auto" w:fill="A8D08D" w:themeFill="accent6" w:themeFillTint="99"/>
          </w:tcPr>
          <w:p w14:paraId="01EA9E21" w14:textId="36A7CCEE" w:rsidR="009958C3" w:rsidRDefault="00B86ADE" w:rsidP="008417D5">
            <w:r w:rsidRPr="00B86ADE">
              <w:t>Expected Completion</w:t>
            </w:r>
          </w:p>
        </w:tc>
        <w:tc>
          <w:tcPr>
            <w:tcW w:w="3415" w:type="dxa"/>
            <w:shd w:val="clear" w:color="auto" w:fill="A8D08D" w:themeFill="accent6" w:themeFillTint="99"/>
          </w:tcPr>
          <w:p w14:paraId="00E3C47C" w14:textId="2CE2552E" w:rsidR="009958C3" w:rsidRDefault="009958C3" w:rsidP="008417D5">
            <w:r>
              <w:t>Status</w:t>
            </w:r>
          </w:p>
        </w:tc>
      </w:tr>
      <w:tr w:rsidR="00B21573" w14:paraId="079E6517" w14:textId="77777777" w:rsidTr="002E2166">
        <w:tc>
          <w:tcPr>
            <w:tcW w:w="2457" w:type="dxa"/>
            <w:shd w:val="clear" w:color="auto" w:fill="E2EFD9" w:themeFill="accent6" w:themeFillTint="33"/>
          </w:tcPr>
          <w:p w14:paraId="1E990F52" w14:textId="47379AAF" w:rsidR="009958C3" w:rsidRDefault="009958C3" w:rsidP="008417D5">
            <w:r>
              <w:t>Reconstruct lift stations</w:t>
            </w:r>
          </w:p>
        </w:tc>
        <w:tc>
          <w:tcPr>
            <w:tcW w:w="1858" w:type="dxa"/>
            <w:shd w:val="clear" w:color="auto" w:fill="FBE4D5" w:themeFill="accent2" w:themeFillTint="33"/>
          </w:tcPr>
          <w:p w14:paraId="70ED8B29" w14:textId="1D4BCA08" w:rsidR="009958C3" w:rsidRDefault="00910999" w:rsidP="008417D5">
            <w:r>
              <w:t>Infrastructure</w:t>
            </w:r>
            <w:r w:rsidR="009958C3">
              <w:t xml:space="preserve"> </w:t>
            </w:r>
          </w:p>
        </w:tc>
        <w:tc>
          <w:tcPr>
            <w:tcW w:w="1620" w:type="dxa"/>
            <w:shd w:val="clear" w:color="auto" w:fill="70AD47" w:themeFill="accent6"/>
          </w:tcPr>
          <w:p w14:paraId="2AD00FAA" w14:textId="5D3ED0E1" w:rsidR="009958C3" w:rsidRPr="002E2166" w:rsidRDefault="009958C3" w:rsidP="008417D5">
            <w:pPr>
              <w:rPr>
                <w:b/>
                <w:bCs/>
              </w:rPr>
            </w:pPr>
            <w:r w:rsidRPr="002E2166">
              <w:rPr>
                <w:b/>
                <w:bCs/>
              </w:rPr>
              <w:t>202</w:t>
            </w:r>
            <w:r w:rsidR="007075AF" w:rsidRPr="002E2166">
              <w:rPr>
                <w:b/>
                <w:bCs/>
              </w:rPr>
              <w:t>5</w:t>
            </w:r>
          </w:p>
        </w:tc>
        <w:tc>
          <w:tcPr>
            <w:tcW w:w="3415" w:type="dxa"/>
            <w:shd w:val="clear" w:color="auto" w:fill="D0CECE" w:themeFill="background2" w:themeFillShade="E6"/>
          </w:tcPr>
          <w:p w14:paraId="6400A3F2" w14:textId="4B3CF812" w:rsidR="009958C3" w:rsidRDefault="002E2166" w:rsidP="008417D5">
            <w:r w:rsidRPr="002E2166">
              <w:rPr>
                <w:b/>
                <w:bCs/>
              </w:rPr>
              <w:t>Complete.</w:t>
            </w:r>
            <w:r w:rsidRPr="002E2166">
              <w:t xml:space="preserve"> Lift Station #3 was completed during the plan period, advancing critical wastewater infrastructure reliability and reducing long-term system risk.</w:t>
            </w:r>
          </w:p>
        </w:tc>
      </w:tr>
      <w:tr w:rsidR="00B21573" w14:paraId="42488DB5" w14:textId="77777777" w:rsidTr="002E2166">
        <w:tc>
          <w:tcPr>
            <w:tcW w:w="2457" w:type="dxa"/>
            <w:shd w:val="clear" w:color="auto" w:fill="E2EFD9" w:themeFill="accent6" w:themeFillTint="33"/>
          </w:tcPr>
          <w:p w14:paraId="6298E597" w14:textId="2116BF61" w:rsidR="009958C3" w:rsidRDefault="009958C3" w:rsidP="008417D5">
            <w:r>
              <w:t xml:space="preserve">Acquire land and complete a building plan for a new public works &amp; operations </w:t>
            </w:r>
            <w:proofErr w:type="spellStart"/>
            <w:r>
              <w:t>centre</w:t>
            </w:r>
            <w:proofErr w:type="spellEnd"/>
          </w:p>
        </w:tc>
        <w:tc>
          <w:tcPr>
            <w:tcW w:w="1858" w:type="dxa"/>
            <w:shd w:val="clear" w:color="auto" w:fill="FBE4D5" w:themeFill="accent2" w:themeFillTint="33"/>
          </w:tcPr>
          <w:p w14:paraId="1EACC193" w14:textId="3B12134B" w:rsidR="009958C3" w:rsidRDefault="00B21573" w:rsidP="008417D5">
            <w:r>
              <w:t>Planning and Development</w:t>
            </w:r>
            <w:r w:rsidR="009958C3">
              <w:t>/City Manager</w:t>
            </w:r>
          </w:p>
        </w:tc>
        <w:tc>
          <w:tcPr>
            <w:tcW w:w="1620" w:type="dxa"/>
            <w:shd w:val="clear" w:color="auto" w:fill="70AD47" w:themeFill="accent6"/>
          </w:tcPr>
          <w:p w14:paraId="76601BF7" w14:textId="4BC99BA9" w:rsidR="009958C3" w:rsidRPr="00C37F57" w:rsidRDefault="009958C3" w:rsidP="008417D5">
            <w:pPr>
              <w:rPr>
                <w:b/>
                <w:bCs/>
              </w:rPr>
            </w:pPr>
            <w:r w:rsidRPr="00C37F57">
              <w:rPr>
                <w:b/>
                <w:bCs/>
              </w:rPr>
              <w:t>202</w:t>
            </w:r>
            <w:r w:rsidR="007075AF" w:rsidRPr="00C37F57">
              <w:rPr>
                <w:b/>
                <w:bCs/>
              </w:rPr>
              <w:t>5</w:t>
            </w:r>
          </w:p>
          <w:p w14:paraId="7007510A" w14:textId="77777777" w:rsidR="007075AF" w:rsidRPr="007075AF" w:rsidRDefault="007075AF" w:rsidP="007075AF"/>
          <w:p w14:paraId="5EC022FA" w14:textId="77777777" w:rsidR="007075AF" w:rsidRDefault="007075AF" w:rsidP="007075AF"/>
          <w:p w14:paraId="134CE406" w14:textId="77777777" w:rsidR="007075AF" w:rsidRDefault="007075AF" w:rsidP="007075AF"/>
          <w:p w14:paraId="7ACA7FD9" w14:textId="77777777" w:rsidR="007075AF" w:rsidRDefault="007075AF" w:rsidP="007075AF"/>
          <w:p w14:paraId="0CB4C81A" w14:textId="46308F3B" w:rsidR="007075AF" w:rsidRPr="007075AF" w:rsidRDefault="007075AF" w:rsidP="007075AF">
            <w:pPr>
              <w:jc w:val="center"/>
            </w:pPr>
          </w:p>
        </w:tc>
        <w:tc>
          <w:tcPr>
            <w:tcW w:w="3415" w:type="dxa"/>
            <w:shd w:val="clear" w:color="auto" w:fill="D0CECE" w:themeFill="background2" w:themeFillShade="E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E2166" w:rsidRPr="002E2166" w14:paraId="4A077517" w14:textId="77777777">
              <w:trPr>
                <w:tblCellSpacing w:w="15" w:type="dxa"/>
              </w:trPr>
              <w:tc>
                <w:tcPr>
                  <w:tcW w:w="0" w:type="auto"/>
                  <w:vAlign w:val="center"/>
                  <w:hideMark/>
                </w:tcPr>
                <w:p w14:paraId="5C97E3B5" w14:textId="77777777" w:rsidR="002E2166" w:rsidRPr="002E2166" w:rsidRDefault="002E2166" w:rsidP="002E2166">
                  <w:pPr>
                    <w:spacing w:after="0" w:line="240" w:lineRule="auto"/>
                    <w:rPr>
                      <w:lang w:val="en-CA"/>
                    </w:rPr>
                  </w:pPr>
                </w:p>
              </w:tc>
            </w:tr>
          </w:tbl>
          <w:p w14:paraId="1B23C122" w14:textId="77777777" w:rsidR="002E2166" w:rsidRPr="002E2166" w:rsidRDefault="002E2166" w:rsidP="002E2166">
            <w:pPr>
              <w:rPr>
                <w:vanish/>
                <w:lang w:val="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5"/>
            </w:tblGrid>
            <w:tr w:rsidR="002E2166" w:rsidRPr="002E2166" w14:paraId="4B73FABC" w14:textId="77777777">
              <w:trPr>
                <w:tblCellSpacing w:w="15" w:type="dxa"/>
              </w:trPr>
              <w:tc>
                <w:tcPr>
                  <w:tcW w:w="0" w:type="auto"/>
                  <w:vAlign w:val="center"/>
                  <w:hideMark/>
                </w:tcPr>
                <w:p w14:paraId="45B4FDA8" w14:textId="28433A4E" w:rsidR="002E2166" w:rsidRPr="002E2166" w:rsidRDefault="002E2166" w:rsidP="002E2166">
                  <w:pPr>
                    <w:spacing w:after="0" w:line="240" w:lineRule="auto"/>
                    <w:rPr>
                      <w:lang w:val="en-CA"/>
                    </w:rPr>
                  </w:pPr>
                  <w:r w:rsidRPr="002E2166">
                    <w:rPr>
                      <w:b/>
                      <w:bCs/>
                      <w:lang w:val="en-CA"/>
                    </w:rPr>
                    <w:t>Substantially Advanced.</w:t>
                  </w:r>
                  <w:r w:rsidRPr="002E2166">
                    <w:rPr>
                      <w:lang w:val="en-CA"/>
                    </w:rPr>
                    <w:t xml:space="preserve"> Strategic land acquisition (40 acres) was completed, securing long-term operational capacity. Facility planning progressed, with construction anticipated to begin </w:t>
                  </w:r>
                  <w:r w:rsidR="00FD317B">
                    <w:rPr>
                      <w:lang w:val="en-CA"/>
                    </w:rPr>
                    <w:t>in 2026</w:t>
                  </w:r>
                  <w:r w:rsidRPr="002E2166">
                    <w:rPr>
                      <w:lang w:val="en-CA"/>
                    </w:rPr>
                    <w:t xml:space="preserve">. This project positions the </w:t>
                  </w:r>
                  <w:proofErr w:type="gramStart"/>
                  <w:r w:rsidRPr="002E2166">
                    <w:rPr>
                      <w:lang w:val="en-CA"/>
                    </w:rPr>
                    <w:t>City</w:t>
                  </w:r>
                  <w:proofErr w:type="gramEnd"/>
                  <w:r w:rsidRPr="002E2166">
                    <w:rPr>
                      <w:lang w:val="en-CA"/>
                    </w:rPr>
                    <w:t xml:space="preserve"> to support future service delivery, fleet growth, and infrastructure maintenance demands.</w:t>
                  </w:r>
                </w:p>
              </w:tc>
            </w:tr>
          </w:tbl>
          <w:p w14:paraId="648AF792" w14:textId="7B39344A" w:rsidR="009958C3" w:rsidRDefault="009958C3" w:rsidP="008417D5"/>
        </w:tc>
      </w:tr>
      <w:tr w:rsidR="00B21573" w14:paraId="65587999" w14:textId="77777777" w:rsidTr="00976F17">
        <w:tc>
          <w:tcPr>
            <w:tcW w:w="2457" w:type="dxa"/>
            <w:shd w:val="clear" w:color="auto" w:fill="E2EFD9" w:themeFill="accent6" w:themeFillTint="33"/>
          </w:tcPr>
          <w:p w14:paraId="74712148" w14:textId="0336C4B8" w:rsidR="009958C3" w:rsidRDefault="009958C3" w:rsidP="008417D5">
            <w:r>
              <w:t>Establish partnerships and identify a location for a new RCMP building</w:t>
            </w:r>
          </w:p>
        </w:tc>
        <w:tc>
          <w:tcPr>
            <w:tcW w:w="1858" w:type="dxa"/>
            <w:shd w:val="clear" w:color="auto" w:fill="FBE4D5" w:themeFill="accent2" w:themeFillTint="33"/>
          </w:tcPr>
          <w:p w14:paraId="3316C0C4" w14:textId="44801D2E" w:rsidR="009958C3" w:rsidRDefault="009958C3" w:rsidP="008417D5">
            <w:r>
              <w:t>City Manager</w:t>
            </w:r>
            <w:r w:rsidR="00B21573">
              <w:t>/Planning and Development and Finance</w:t>
            </w:r>
          </w:p>
        </w:tc>
        <w:tc>
          <w:tcPr>
            <w:tcW w:w="1620" w:type="dxa"/>
            <w:shd w:val="clear" w:color="auto" w:fill="70AD47" w:themeFill="accent6"/>
          </w:tcPr>
          <w:p w14:paraId="6B7AA84C" w14:textId="77777777" w:rsidR="00976F17" w:rsidRPr="00976F17" w:rsidRDefault="00976F17" w:rsidP="00976F17">
            <w:pPr>
              <w:rPr>
                <w:b/>
                <w:bCs/>
                <w:vanish/>
                <w:lang w:val="en-CA"/>
              </w:rPr>
            </w:pPr>
          </w:p>
          <w:p w14:paraId="0F9A1855" w14:textId="309A194A" w:rsidR="009958C3" w:rsidRDefault="00976F17" w:rsidP="008417D5">
            <w:r w:rsidRPr="00976F17">
              <w:rPr>
                <w:b/>
                <w:bCs/>
              </w:rPr>
              <w:t>2025 – Project direction established; implementation continuing</w:t>
            </w:r>
          </w:p>
        </w:tc>
        <w:tc>
          <w:tcPr>
            <w:tcW w:w="3415" w:type="dxa"/>
            <w:shd w:val="clear" w:color="auto" w:fill="D0CECE" w:themeFill="background2" w:themeFillShade="E6"/>
          </w:tcPr>
          <w:p w14:paraId="0AEDF18E" w14:textId="4EDEB6B5" w:rsidR="009958C3" w:rsidRDefault="00976F17" w:rsidP="008417D5">
            <w:r>
              <w:rPr>
                <w:rStyle w:val="Strong"/>
              </w:rPr>
              <w:t>Substantially Advanced.</w:t>
            </w:r>
            <w:r>
              <w:t xml:space="preserve"> Council directed Administration to explore </w:t>
            </w:r>
            <w:proofErr w:type="gramStart"/>
            <w:r>
              <w:t>a renovation</w:t>
            </w:r>
            <w:proofErr w:type="gramEnd"/>
            <w:r>
              <w:t xml:space="preserve"> and expansion of the existing RCMP detachment. Coordination with the RCMP and architectural consultants is underway, and a renovation/expansion project is reflected in the 2027 Capital Budget. Regional discussions with Martensville and the RCMP continued and will inform future partnership considerations.</w:t>
            </w:r>
          </w:p>
        </w:tc>
      </w:tr>
      <w:tr w:rsidR="00B21573" w14:paraId="0717759F" w14:textId="77777777" w:rsidTr="00C37F57">
        <w:tc>
          <w:tcPr>
            <w:tcW w:w="2457" w:type="dxa"/>
            <w:shd w:val="clear" w:color="auto" w:fill="E2EFD9" w:themeFill="accent6" w:themeFillTint="33"/>
          </w:tcPr>
          <w:p w14:paraId="0E3DD873" w14:textId="041D14A5" w:rsidR="009958C3" w:rsidRDefault="009958C3" w:rsidP="008417D5">
            <w:r>
              <w:t>Continue with planning with a view to a new aquatic facility and implementation of the facility portfolio report by 2031</w:t>
            </w:r>
          </w:p>
        </w:tc>
        <w:tc>
          <w:tcPr>
            <w:tcW w:w="1858" w:type="dxa"/>
            <w:shd w:val="clear" w:color="auto" w:fill="FBE4D5" w:themeFill="accent2" w:themeFillTint="33"/>
          </w:tcPr>
          <w:p w14:paraId="75A55C89" w14:textId="2067E08B" w:rsidR="009958C3" w:rsidRDefault="009958C3" w:rsidP="008417D5">
            <w:r>
              <w:t xml:space="preserve">Recreation </w:t>
            </w:r>
            <w:r w:rsidR="00910999">
              <w:t>&amp; Community Services</w:t>
            </w:r>
          </w:p>
        </w:tc>
        <w:tc>
          <w:tcPr>
            <w:tcW w:w="1620" w:type="dxa"/>
            <w:shd w:val="clear" w:color="auto" w:fill="70AD47" w:themeFill="accent6"/>
          </w:tcPr>
          <w:p w14:paraId="27FA4238" w14:textId="4209F685" w:rsidR="009958C3" w:rsidRPr="00976F17" w:rsidRDefault="00976F17" w:rsidP="008417D5">
            <w:pPr>
              <w:rPr>
                <w:b/>
                <w:bCs/>
              </w:rPr>
            </w:pPr>
            <w:r w:rsidRPr="00976F17">
              <w:rPr>
                <w:b/>
                <w:bCs/>
              </w:rPr>
              <w:t>2031+ (Growth threshold dependent)</w:t>
            </w:r>
          </w:p>
        </w:tc>
        <w:tc>
          <w:tcPr>
            <w:tcW w:w="3415" w:type="dxa"/>
            <w:shd w:val="clear" w:color="auto" w:fill="D0CECE" w:themeFill="background2" w:themeFillShade="E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76F17" w:rsidRPr="00976F17" w14:paraId="0A318550" w14:textId="77777777">
              <w:trPr>
                <w:tblCellSpacing w:w="15" w:type="dxa"/>
              </w:trPr>
              <w:tc>
                <w:tcPr>
                  <w:tcW w:w="0" w:type="auto"/>
                  <w:vAlign w:val="center"/>
                  <w:hideMark/>
                </w:tcPr>
                <w:p w14:paraId="5BFCBED3" w14:textId="77777777" w:rsidR="00976F17" w:rsidRPr="00976F17" w:rsidRDefault="00976F17" w:rsidP="00976F17">
                  <w:pPr>
                    <w:spacing w:after="0" w:line="240" w:lineRule="auto"/>
                    <w:rPr>
                      <w:lang w:val="en-CA"/>
                    </w:rPr>
                  </w:pPr>
                </w:p>
              </w:tc>
            </w:tr>
          </w:tbl>
          <w:p w14:paraId="28D40DAE" w14:textId="77777777" w:rsidR="00976F17" w:rsidRPr="00976F17" w:rsidRDefault="00976F17" w:rsidP="00976F17">
            <w:pPr>
              <w:rPr>
                <w:vanish/>
                <w:lang w:val="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5"/>
            </w:tblGrid>
            <w:tr w:rsidR="00976F17" w:rsidRPr="00976F17" w14:paraId="09F1A684" w14:textId="77777777">
              <w:trPr>
                <w:tblCellSpacing w:w="15" w:type="dxa"/>
              </w:trPr>
              <w:tc>
                <w:tcPr>
                  <w:tcW w:w="0" w:type="auto"/>
                  <w:vAlign w:val="center"/>
                  <w:hideMark/>
                </w:tcPr>
                <w:p w14:paraId="6A1D87DA" w14:textId="75FBA986" w:rsidR="00976F17" w:rsidRPr="00976F17" w:rsidRDefault="00976F17" w:rsidP="00976F17">
                  <w:pPr>
                    <w:spacing w:after="0" w:line="240" w:lineRule="auto"/>
                    <w:rPr>
                      <w:lang w:val="en-CA"/>
                    </w:rPr>
                  </w:pPr>
                  <w:r w:rsidRPr="00976F17">
                    <w:rPr>
                      <w:b/>
                      <w:bCs/>
                      <w:lang w:val="en-CA"/>
                    </w:rPr>
                    <w:t>Ongoing.</w:t>
                  </w:r>
                  <w:r w:rsidRPr="00976F17">
                    <w:rPr>
                      <w:lang w:val="en-CA"/>
                    </w:rPr>
                    <w:t xml:space="preserve"> Consistent with the Recreation, Culture &amp; Parks Master Plan, aquatic facility development remains tied to population growth thresholds. Financial readiness tools (Recreation Levy) have been implemented, and long-range capital planning reflects design and construction timelines. The initiative remains in the planning phase.</w:t>
                  </w:r>
                </w:p>
              </w:tc>
            </w:tr>
          </w:tbl>
          <w:p w14:paraId="63DBECC7" w14:textId="54460147" w:rsidR="00976F8F" w:rsidRPr="00976F8F" w:rsidRDefault="00976F8F" w:rsidP="008417D5">
            <w:pPr>
              <w:rPr>
                <w:lang w:val="en-CA"/>
              </w:rPr>
            </w:pPr>
          </w:p>
        </w:tc>
      </w:tr>
    </w:tbl>
    <w:p w14:paraId="5A2A2FE7" w14:textId="6AADBD54" w:rsidR="00090C02" w:rsidRDefault="00090C02"/>
    <w:p w14:paraId="6BF9F97F" w14:textId="51EBB01B" w:rsidR="007B119E" w:rsidRPr="0070761F" w:rsidRDefault="00F7467E">
      <w:pPr>
        <w:rPr>
          <w:b/>
          <w:bCs/>
          <w:color w:val="2F5496" w:themeColor="accent1" w:themeShade="BF"/>
          <w:sz w:val="28"/>
          <w:szCs w:val="28"/>
        </w:rPr>
      </w:pPr>
      <w:r w:rsidRPr="0070761F">
        <w:rPr>
          <w:b/>
          <w:bCs/>
          <w:color w:val="2F5496" w:themeColor="accent1" w:themeShade="BF"/>
          <w:sz w:val="28"/>
          <w:szCs w:val="28"/>
        </w:rPr>
        <w:t>Growth &amp; Innovation</w:t>
      </w:r>
    </w:p>
    <w:p w14:paraId="264532FB" w14:textId="0B42243F" w:rsidR="00090C02" w:rsidRPr="004C44FB" w:rsidRDefault="00F7467E">
      <w:pPr>
        <w:rPr>
          <w:color w:val="2F5496" w:themeColor="accent1" w:themeShade="BF"/>
        </w:rPr>
      </w:pPr>
      <w:r w:rsidRPr="004C44FB">
        <w:rPr>
          <w:color w:val="2F5496" w:themeColor="accent1" w:themeShade="BF"/>
        </w:rPr>
        <w:t xml:space="preserve">The City of Warman is known as a boom town; a place that embraces growth. Good planning ensures such growth occurs sustainably, and for the benefit of all residents. As the City matures into an economic </w:t>
      </w:r>
      <w:r w:rsidR="00E80146" w:rsidRPr="004C44FB">
        <w:rPr>
          <w:color w:val="2F5496" w:themeColor="accent1" w:themeShade="BF"/>
        </w:rPr>
        <w:t>hub, emphasis</w:t>
      </w:r>
      <w:r w:rsidRPr="004C44FB">
        <w:rPr>
          <w:color w:val="2F5496" w:themeColor="accent1" w:themeShade="BF"/>
        </w:rPr>
        <w:t xml:space="preserve"> will continue to be put into attracting new businesses and diversifying the economic base. </w:t>
      </w:r>
    </w:p>
    <w:tbl>
      <w:tblPr>
        <w:tblStyle w:val="TableGrid"/>
        <w:tblW w:w="0" w:type="auto"/>
        <w:tblLook w:val="04A0" w:firstRow="1" w:lastRow="0" w:firstColumn="1" w:lastColumn="0" w:noHBand="0" w:noVBand="1"/>
      </w:tblPr>
      <w:tblGrid>
        <w:gridCol w:w="2455"/>
        <w:gridCol w:w="1860"/>
        <w:gridCol w:w="1530"/>
        <w:gridCol w:w="3505"/>
      </w:tblGrid>
      <w:tr w:rsidR="009958C3" w14:paraId="4793C13B" w14:textId="77777777" w:rsidTr="00B86ADE">
        <w:tc>
          <w:tcPr>
            <w:tcW w:w="2455" w:type="dxa"/>
            <w:shd w:val="clear" w:color="auto" w:fill="A8D08D" w:themeFill="accent6" w:themeFillTint="99"/>
          </w:tcPr>
          <w:p w14:paraId="2D11C0B1" w14:textId="4A460F37" w:rsidR="009958C3" w:rsidRDefault="009958C3" w:rsidP="008417D5">
            <w:r>
              <w:t>Initiative</w:t>
            </w:r>
          </w:p>
        </w:tc>
        <w:tc>
          <w:tcPr>
            <w:tcW w:w="1860" w:type="dxa"/>
            <w:shd w:val="clear" w:color="auto" w:fill="A8D08D" w:themeFill="accent6" w:themeFillTint="99"/>
          </w:tcPr>
          <w:p w14:paraId="1D1A1A99" w14:textId="7CC28B1E" w:rsidR="009958C3" w:rsidRDefault="009958C3" w:rsidP="008417D5">
            <w:r>
              <w:t>Department/Lead</w:t>
            </w:r>
          </w:p>
        </w:tc>
        <w:tc>
          <w:tcPr>
            <w:tcW w:w="1530" w:type="dxa"/>
            <w:shd w:val="clear" w:color="auto" w:fill="A8D08D" w:themeFill="accent6" w:themeFillTint="99"/>
          </w:tcPr>
          <w:p w14:paraId="74EBEAFA" w14:textId="707AC7FE" w:rsidR="009958C3" w:rsidRDefault="00B86ADE" w:rsidP="008417D5">
            <w:r w:rsidRPr="00B86ADE">
              <w:t>Expected Completion</w:t>
            </w:r>
          </w:p>
        </w:tc>
        <w:tc>
          <w:tcPr>
            <w:tcW w:w="3505" w:type="dxa"/>
            <w:shd w:val="clear" w:color="auto" w:fill="A8D08D" w:themeFill="accent6" w:themeFillTint="99"/>
          </w:tcPr>
          <w:p w14:paraId="0D7B2053" w14:textId="4489C8DF" w:rsidR="009958C3" w:rsidRDefault="009958C3" w:rsidP="008417D5">
            <w:r>
              <w:t>Status</w:t>
            </w:r>
          </w:p>
        </w:tc>
      </w:tr>
      <w:tr w:rsidR="009958C3" w14:paraId="36029C5B" w14:textId="77777777" w:rsidTr="00C37F57">
        <w:tc>
          <w:tcPr>
            <w:tcW w:w="2455" w:type="dxa"/>
            <w:shd w:val="clear" w:color="auto" w:fill="E2EFD9" w:themeFill="accent6" w:themeFillTint="33"/>
          </w:tcPr>
          <w:p w14:paraId="651B5B3F" w14:textId="0153F676" w:rsidR="009958C3" w:rsidRDefault="009958C3" w:rsidP="008417D5">
            <w:r>
              <w:t xml:space="preserve">Hit the </w:t>
            </w:r>
            <w:proofErr w:type="gramStart"/>
            <w:r>
              <w:t>15,000 population</w:t>
            </w:r>
            <w:proofErr w:type="gramEnd"/>
            <w:r>
              <w:t xml:space="preserve"> mark by 2025, while outpacing Saskatoon-level growth</w:t>
            </w:r>
          </w:p>
        </w:tc>
        <w:tc>
          <w:tcPr>
            <w:tcW w:w="1860" w:type="dxa"/>
            <w:shd w:val="clear" w:color="auto" w:fill="FBE4D5" w:themeFill="accent2" w:themeFillTint="33"/>
          </w:tcPr>
          <w:p w14:paraId="65886304" w14:textId="05E35AB3" w:rsidR="009958C3" w:rsidRDefault="009958C3" w:rsidP="008417D5">
            <w:r>
              <w:t>Economic Development Officer</w:t>
            </w:r>
          </w:p>
        </w:tc>
        <w:tc>
          <w:tcPr>
            <w:tcW w:w="1530" w:type="dxa"/>
            <w:shd w:val="clear" w:color="auto" w:fill="ED7D31" w:themeFill="accent2"/>
          </w:tcPr>
          <w:p w14:paraId="04B41EDA" w14:textId="0A350107" w:rsidR="009958C3" w:rsidRPr="00976F17" w:rsidRDefault="00976F17" w:rsidP="008417D5">
            <w:pPr>
              <w:rPr>
                <w:b/>
                <w:bCs/>
              </w:rPr>
            </w:pPr>
            <w:r w:rsidRPr="00976F17">
              <w:rPr>
                <w:b/>
                <w:bCs/>
              </w:rPr>
              <w:t>Beyond 2025 – Growth trend dependent</w:t>
            </w:r>
          </w:p>
        </w:tc>
        <w:tc>
          <w:tcPr>
            <w:tcW w:w="3505" w:type="dxa"/>
            <w:shd w:val="clear" w:color="auto" w:fill="D0CECE" w:themeFill="background2" w:themeFillShade="E6"/>
          </w:tcPr>
          <w:p w14:paraId="3C4B7635" w14:textId="5F62A03B" w:rsidR="009958C3" w:rsidRDefault="00976F17" w:rsidP="008417D5">
            <w:r w:rsidRPr="00976F17">
              <w:rPr>
                <w:b/>
                <w:bCs/>
              </w:rPr>
              <w:t>Substantially Advanced.</w:t>
            </w:r>
            <w:r w:rsidRPr="00976F17">
              <w:t xml:space="preserve"> Population growth remained strong but below the ambitious 2021 projection, reaching 14,052 in 2025. Administration focused on ensuring land supply, servicing capacity, and housing diversity to support continued growth readiness.</w:t>
            </w:r>
          </w:p>
        </w:tc>
      </w:tr>
      <w:tr w:rsidR="009958C3" w14:paraId="52B9FE90" w14:textId="77777777" w:rsidTr="00976F17">
        <w:tc>
          <w:tcPr>
            <w:tcW w:w="2455" w:type="dxa"/>
            <w:shd w:val="clear" w:color="auto" w:fill="E2EFD9" w:themeFill="accent6" w:themeFillTint="33"/>
          </w:tcPr>
          <w:p w14:paraId="1D352561" w14:textId="73A88634" w:rsidR="009958C3" w:rsidRDefault="009958C3" w:rsidP="008417D5">
            <w:r>
              <w:t>Complete 100 purpose-built rental units by 2025, and 200 by 2030, to alleviate pressure on home affordability</w:t>
            </w:r>
          </w:p>
        </w:tc>
        <w:tc>
          <w:tcPr>
            <w:tcW w:w="1860" w:type="dxa"/>
            <w:shd w:val="clear" w:color="auto" w:fill="FBE4D5" w:themeFill="accent2" w:themeFillTint="33"/>
          </w:tcPr>
          <w:p w14:paraId="1AE7B74F" w14:textId="2C51C88E" w:rsidR="009958C3" w:rsidRDefault="00E80146" w:rsidP="008417D5">
            <w:r>
              <w:t xml:space="preserve">Planning and </w:t>
            </w:r>
            <w:r w:rsidR="009958C3" w:rsidRPr="00DD4B2D">
              <w:t xml:space="preserve">Development </w:t>
            </w:r>
          </w:p>
        </w:tc>
        <w:tc>
          <w:tcPr>
            <w:tcW w:w="1530" w:type="dxa"/>
            <w:shd w:val="clear" w:color="auto" w:fill="70AD47" w:themeFill="accent6"/>
          </w:tcPr>
          <w:p w14:paraId="420DC457" w14:textId="34951C9A" w:rsidR="009958C3" w:rsidRPr="00976F17" w:rsidRDefault="00F56DED" w:rsidP="008417D5">
            <w:pPr>
              <w:rPr>
                <w:b/>
                <w:bCs/>
              </w:rPr>
            </w:pPr>
            <w:r w:rsidRPr="00976F17">
              <w:rPr>
                <w:b/>
                <w:bCs/>
              </w:rPr>
              <w:t>2025</w:t>
            </w:r>
          </w:p>
        </w:tc>
        <w:tc>
          <w:tcPr>
            <w:tcW w:w="3505" w:type="dxa"/>
            <w:shd w:val="clear" w:color="auto" w:fill="D0CECE" w:themeFill="background2" w:themeFillShade="E6"/>
          </w:tcPr>
          <w:p w14:paraId="46700699" w14:textId="1A510387" w:rsidR="009958C3" w:rsidRPr="00F56DED" w:rsidRDefault="00976F17" w:rsidP="008417D5">
            <w:pPr>
              <w:rPr>
                <w:lang w:val="en-CA"/>
              </w:rPr>
            </w:pPr>
            <w:r w:rsidRPr="00976F17">
              <w:rPr>
                <w:b/>
                <w:bCs/>
                <w:lang w:val="en-CA"/>
              </w:rPr>
              <w:t>Substantially Advanced</w:t>
            </w:r>
            <w:r w:rsidRPr="00976F17">
              <w:rPr>
                <w:lang w:val="en-CA"/>
              </w:rPr>
              <w:t>. Rental housing supply expanded significantly, with 148 units completed</w:t>
            </w:r>
            <w:r>
              <w:rPr>
                <w:lang w:val="en-CA"/>
              </w:rPr>
              <w:t xml:space="preserve"> by 2025</w:t>
            </w:r>
            <w:r w:rsidRPr="00976F17">
              <w:rPr>
                <w:lang w:val="en-CA"/>
              </w:rPr>
              <w:t xml:space="preserve"> and additional proposals underway. The </w:t>
            </w:r>
            <w:proofErr w:type="gramStart"/>
            <w:r w:rsidRPr="00976F17">
              <w:rPr>
                <w:lang w:val="en-CA"/>
              </w:rPr>
              <w:t>City</w:t>
            </w:r>
            <w:proofErr w:type="gramEnd"/>
            <w:r w:rsidRPr="00976F17">
              <w:rPr>
                <w:lang w:val="en-CA"/>
              </w:rPr>
              <w:t xml:space="preserve"> remains on track to meet or exceed longer-term targets supporting housing diversity.</w:t>
            </w:r>
          </w:p>
        </w:tc>
      </w:tr>
      <w:tr w:rsidR="009958C3" w14:paraId="280AC2E4" w14:textId="77777777" w:rsidTr="00660F85">
        <w:tc>
          <w:tcPr>
            <w:tcW w:w="2455" w:type="dxa"/>
            <w:shd w:val="clear" w:color="auto" w:fill="E2EFD9" w:themeFill="accent6" w:themeFillTint="33"/>
          </w:tcPr>
          <w:p w14:paraId="4467B221" w14:textId="272EF73D" w:rsidR="009958C3" w:rsidRDefault="009958C3" w:rsidP="008417D5">
            <w:r>
              <w:t xml:space="preserve">Create a plan for improvements for Central Street (e.g. business </w:t>
            </w:r>
            <w:proofErr w:type="gramStart"/>
            <w:r>
              <w:t>attraction</w:t>
            </w:r>
            <w:proofErr w:type="gramEnd"/>
            <w:r>
              <w:t>, walkability, visitors) including a potential BID (business improvement district)</w:t>
            </w:r>
          </w:p>
        </w:tc>
        <w:tc>
          <w:tcPr>
            <w:tcW w:w="1860" w:type="dxa"/>
            <w:shd w:val="clear" w:color="auto" w:fill="FBE4D5" w:themeFill="accent2" w:themeFillTint="33"/>
          </w:tcPr>
          <w:p w14:paraId="59297155" w14:textId="2F001DE7" w:rsidR="009958C3" w:rsidRDefault="009958C3" w:rsidP="008417D5">
            <w:r w:rsidRPr="00DD4B2D">
              <w:t>Economic Development Officer</w:t>
            </w:r>
          </w:p>
        </w:tc>
        <w:tc>
          <w:tcPr>
            <w:tcW w:w="1530" w:type="dxa"/>
            <w:shd w:val="clear" w:color="auto" w:fill="70AD47" w:themeFill="accent6"/>
          </w:tcPr>
          <w:p w14:paraId="0E2A5D0C" w14:textId="3C363F62" w:rsidR="009958C3" w:rsidRPr="00976F17" w:rsidRDefault="009958C3" w:rsidP="008417D5">
            <w:pPr>
              <w:rPr>
                <w:b/>
                <w:bCs/>
              </w:rPr>
            </w:pPr>
            <w:r w:rsidRPr="00976F17">
              <w:rPr>
                <w:b/>
                <w:bCs/>
              </w:rPr>
              <w:t>202</w:t>
            </w:r>
            <w:r w:rsidR="00B738AA" w:rsidRPr="00976F17">
              <w:rPr>
                <w:b/>
                <w:bCs/>
              </w:rPr>
              <w:t>3</w:t>
            </w:r>
          </w:p>
        </w:tc>
        <w:tc>
          <w:tcPr>
            <w:tcW w:w="3505" w:type="dxa"/>
            <w:shd w:val="clear" w:color="auto" w:fill="D0CECE" w:themeFill="background2" w:themeFillShade="E6"/>
          </w:tcPr>
          <w:p w14:paraId="25ED9F73" w14:textId="13CC826C" w:rsidR="009958C3" w:rsidRDefault="00976F17" w:rsidP="008417D5">
            <w:r w:rsidRPr="00976F17">
              <w:rPr>
                <w:b/>
                <w:bCs/>
              </w:rPr>
              <w:t>Complete.</w:t>
            </w:r>
            <w:r>
              <w:t xml:space="preserve"> </w:t>
            </w:r>
            <w:r w:rsidR="0091657E">
              <w:t xml:space="preserve">Additional benches and trees were added. Multiple new businesses and buildings were added -the tax incentive was utilized. Planters (summer) and lights (winter) receive rave reviews from residents. Central St/Centennial corner is being remediated for development. </w:t>
            </w:r>
            <w:r w:rsidR="00FC7EB5">
              <w:t xml:space="preserve">A BID was </w:t>
            </w:r>
            <w:proofErr w:type="gramStart"/>
            <w:r w:rsidR="00FC7EB5">
              <w:t xml:space="preserve">looked </w:t>
            </w:r>
            <w:r w:rsidR="00660F85">
              <w:t>into</w:t>
            </w:r>
            <w:proofErr w:type="gramEnd"/>
            <w:r w:rsidR="00660F85">
              <w:t xml:space="preserve"> but</w:t>
            </w:r>
            <w:r w:rsidR="00FC7EB5">
              <w:t xml:space="preserve"> decided against pursuing further.</w:t>
            </w:r>
          </w:p>
        </w:tc>
      </w:tr>
      <w:tr w:rsidR="009958C3" w14:paraId="5EE2C0AE" w14:textId="77777777" w:rsidTr="00776414">
        <w:tc>
          <w:tcPr>
            <w:tcW w:w="2455" w:type="dxa"/>
            <w:shd w:val="clear" w:color="auto" w:fill="E2EFD9" w:themeFill="accent6" w:themeFillTint="33"/>
          </w:tcPr>
          <w:p w14:paraId="3FE35C93" w14:textId="1DC85EDD" w:rsidR="009958C3" w:rsidRDefault="009958C3" w:rsidP="008417D5">
            <w:r>
              <w:t>Increase opportunities in the industrial, environmental and technology sectors</w:t>
            </w:r>
          </w:p>
        </w:tc>
        <w:tc>
          <w:tcPr>
            <w:tcW w:w="1860" w:type="dxa"/>
            <w:shd w:val="clear" w:color="auto" w:fill="FBE4D5" w:themeFill="accent2" w:themeFillTint="33"/>
          </w:tcPr>
          <w:p w14:paraId="106352A4" w14:textId="3287F465" w:rsidR="009958C3" w:rsidRDefault="009958C3" w:rsidP="008417D5">
            <w:r w:rsidRPr="00DD4B2D">
              <w:t>Economic Development Officer</w:t>
            </w:r>
          </w:p>
        </w:tc>
        <w:tc>
          <w:tcPr>
            <w:tcW w:w="1530" w:type="dxa"/>
            <w:shd w:val="clear" w:color="auto" w:fill="ED7D31" w:themeFill="accent2"/>
          </w:tcPr>
          <w:p w14:paraId="5E0EF8BC" w14:textId="0A7CA59B" w:rsidR="009958C3" w:rsidRPr="008055D1" w:rsidRDefault="008055D1" w:rsidP="008417D5">
            <w:pPr>
              <w:rPr>
                <w:b/>
                <w:bCs/>
              </w:rPr>
            </w:pPr>
            <w:r w:rsidRPr="008055D1">
              <w:rPr>
                <w:b/>
                <w:bCs/>
              </w:rPr>
              <w:t>Ongoing economic development responsibility</w:t>
            </w:r>
          </w:p>
        </w:tc>
        <w:tc>
          <w:tcPr>
            <w:tcW w:w="3505" w:type="dxa"/>
            <w:shd w:val="clear" w:color="auto" w:fill="D0CECE" w:themeFill="background2" w:themeFillShade="E6"/>
          </w:tcPr>
          <w:p w14:paraId="4D660BE2" w14:textId="5820BCDE" w:rsidR="0091657E" w:rsidRDefault="00776414" w:rsidP="008417D5">
            <w:r>
              <w:rPr>
                <w:rStyle w:val="Strong"/>
              </w:rPr>
              <w:t>Substantially Advanced.</w:t>
            </w:r>
            <w:r>
              <w:br/>
              <w:t xml:space="preserve">Several elements supporting industrial, environmental, and technology sector growth were advanced during the plan period, including completion of a retail market analysis, development of an updated Community Profile, ongoing investor engagement, and utilization of business tax incentives. While not all originally contemplated initiatives were pursued, the City experienced measurable growth in these sectors through business attraction, expansion, and land readiness efforts. </w:t>
            </w:r>
          </w:p>
        </w:tc>
      </w:tr>
      <w:tr w:rsidR="009958C3" w14:paraId="1B53FE6C" w14:textId="77777777" w:rsidTr="00660F85">
        <w:tc>
          <w:tcPr>
            <w:tcW w:w="2455" w:type="dxa"/>
            <w:shd w:val="clear" w:color="auto" w:fill="E2EFD9" w:themeFill="accent6" w:themeFillTint="33"/>
          </w:tcPr>
          <w:p w14:paraId="3C06BC69" w14:textId="00BA5A2F" w:rsidR="009958C3" w:rsidRDefault="009958C3" w:rsidP="008417D5">
            <w:r>
              <w:t>Provide opportunities to reduce the proportion of residents who are daily commuters</w:t>
            </w:r>
          </w:p>
        </w:tc>
        <w:tc>
          <w:tcPr>
            <w:tcW w:w="1860" w:type="dxa"/>
            <w:shd w:val="clear" w:color="auto" w:fill="FBE4D5" w:themeFill="accent2" w:themeFillTint="33"/>
          </w:tcPr>
          <w:p w14:paraId="6976E2E1" w14:textId="24B7997D" w:rsidR="009958C3" w:rsidRDefault="009958C3" w:rsidP="008417D5">
            <w:r w:rsidRPr="00DD4B2D">
              <w:t>Economic Development Officer</w:t>
            </w:r>
          </w:p>
        </w:tc>
        <w:tc>
          <w:tcPr>
            <w:tcW w:w="1530" w:type="dxa"/>
            <w:shd w:val="clear" w:color="auto" w:fill="70AD47" w:themeFill="accent6"/>
          </w:tcPr>
          <w:p w14:paraId="7F0392E4" w14:textId="31FD3077" w:rsidR="009958C3" w:rsidRPr="008055D1" w:rsidRDefault="008055D1" w:rsidP="008417D5">
            <w:pPr>
              <w:rPr>
                <w:b/>
                <w:bCs/>
              </w:rPr>
            </w:pPr>
            <w:r w:rsidRPr="008055D1">
              <w:rPr>
                <w:b/>
                <w:bCs/>
              </w:rPr>
              <w:t>2025 – Ongoing economic outcome</w:t>
            </w:r>
          </w:p>
        </w:tc>
        <w:tc>
          <w:tcPr>
            <w:tcW w:w="3505" w:type="dxa"/>
            <w:shd w:val="clear" w:color="auto" w:fill="D0CECE" w:themeFill="background2" w:themeFillShade="E6"/>
          </w:tcPr>
          <w:p w14:paraId="10EAD0AC" w14:textId="73AAC9CA" w:rsidR="009958C3" w:rsidRDefault="008055D1" w:rsidP="008417D5">
            <w:r w:rsidRPr="008055D1">
              <w:rPr>
                <w:b/>
                <w:bCs/>
              </w:rPr>
              <w:t>Substantially Advanced.</w:t>
            </w:r>
            <w:r w:rsidRPr="008055D1">
              <w:t xml:space="preserve"> Business growth and employment expansion increased local job opportunities. Continued economic development efforts support long-term reduction in commuter dependency.</w:t>
            </w:r>
          </w:p>
        </w:tc>
      </w:tr>
      <w:tr w:rsidR="009958C3" w14:paraId="0CF0EA19" w14:textId="77777777" w:rsidTr="00E15A52">
        <w:tc>
          <w:tcPr>
            <w:tcW w:w="2455" w:type="dxa"/>
            <w:shd w:val="clear" w:color="auto" w:fill="E2EFD9" w:themeFill="accent6" w:themeFillTint="33"/>
          </w:tcPr>
          <w:p w14:paraId="005447F6" w14:textId="7CE6BB50" w:rsidR="009958C3" w:rsidRDefault="009958C3" w:rsidP="008417D5">
            <w:r>
              <w:t>Update the economic development plan and develop and monitor a set of indicators to assess business and economic growth</w:t>
            </w:r>
          </w:p>
        </w:tc>
        <w:tc>
          <w:tcPr>
            <w:tcW w:w="1860" w:type="dxa"/>
            <w:shd w:val="clear" w:color="auto" w:fill="FBE4D5" w:themeFill="accent2" w:themeFillTint="33"/>
          </w:tcPr>
          <w:p w14:paraId="3C5949DC" w14:textId="32881F3C" w:rsidR="009958C3" w:rsidRDefault="009958C3" w:rsidP="008417D5">
            <w:r w:rsidRPr="00DD4B2D">
              <w:t>Economic Development Officer</w:t>
            </w:r>
          </w:p>
        </w:tc>
        <w:tc>
          <w:tcPr>
            <w:tcW w:w="1530" w:type="dxa"/>
            <w:shd w:val="clear" w:color="auto" w:fill="70AD47" w:themeFill="accent6"/>
          </w:tcPr>
          <w:p w14:paraId="46AE7FB4" w14:textId="3C298A92" w:rsidR="009958C3" w:rsidRPr="00E15A52" w:rsidRDefault="00E15A52" w:rsidP="008417D5">
            <w:pPr>
              <w:rPr>
                <w:b/>
                <w:bCs/>
              </w:rPr>
            </w:pPr>
            <w:r w:rsidRPr="00E15A52">
              <w:rPr>
                <w:b/>
                <w:bCs/>
              </w:rPr>
              <w:t>2025</w:t>
            </w:r>
          </w:p>
        </w:tc>
        <w:tc>
          <w:tcPr>
            <w:tcW w:w="3505" w:type="dxa"/>
            <w:shd w:val="clear" w:color="auto" w:fill="D0CECE" w:themeFill="background2" w:themeFillShade="E6"/>
          </w:tcPr>
          <w:p w14:paraId="48735E2E" w14:textId="029D158E" w:rsidR="00FC7EB5" w:rsidRDefault="00E15A52" w:rsidP="008417D5">
            <w:r w:rsidRPr="00E15A52">
              <w:rPr>
                <w:b/>
                <w:bCs/>
              </w:rPr>
              <w:t>Complete</w:t>
            </w:r>
            <w:r w:rsidRPr="00E15A52">
              <w:t>. Economic performance monitoring practices were strengthened, and regular reporting on business and economic indicators is now embedded within economic development operations.</w:t>
            </w:r>
          </w:p>
        </w:tc>
      </w:tr>
      <w:tr w:rsidR="009958C3" w14:paraId="1791E245" w14:textId="77777777" w:rsidTr="00874460">
        <w:tc>
          <w:tcPr>
            <w:tcW w:w="2455" w:type="dxa"/>
            <w:shd w:val="clear" w:color="auto" w:fill="E2EFD9" w:themeFill="accent6" w:themeFillTint="33"/>
          </w:tcPr>
          <w:p w14:paraId="11517D54" w14:textId="0BCC1780" w:rsidR="009958C3" w:rsidRDefault="009958C3" w:rsidP="008417D5">
            <w:r>
              <w:t>Increase the number of business licenses and storefronts by a least the rate of population growth</w:t>
            </w:r>
          </w:p>
        </w:tc>
        <w:tc>
          <w:tcPr>
            <w:tcW w:w="1860" w:type="dxa"/>
            <w:shd w:val="clear" w:color="auto" w:fill="FBE4D5" w:themeFill="accent2" w:themeFillTint="33"/>
          </w:tcPr>
          <w:p w14:paraId="7E41B47D" w14:textId="2B231DEF" w:rsidR="009958C3" w:rsidRDefault="009958C3" w:rsidP="008417D5">
            <w:r w:rsidRPr="00DD4B2D">
              <w:t>Economic Development Officer</w:t>
            </w:r>
          </w:p>
        </w:tc>
        <w:tc>
          <w:tcPr>
            <w:tcW w:w="1530" w:type="dxa"/>
            <w:shd w:val="clear" w:color="auto" w:fill="70AD47" w:themeFill="accent6"/>
          </w:tcPr>
          <w:p w14:paraId="76F457F9" w14:textId="6445B1D6" w:rsidR="009958C3" w:rsidRPr="00E15A52" w:rsidRDefault="00E15A52" w:rsidP="008417D5">
            <w:pPr>
              <w:rPr>
                <w:b/>
                <w:bCs/>
              </w:rPr>
            </w:pPr>
            <w:r w:rsidRPr="00E15A52">
              <w:rPr>
                <w:b/>
                <w:bCs/>
              </w:rPr>
              <w:t>2025</w:t>
            </w:r>
          </w:p>
        </w:tc>
        <w:tc>
          <w:tcPr>
            <w:tcW w:w="3505" w:type="dxa"/>
            <w:shd w:val="clear" w:color="auto" w:fill="D0CECE" w:themeFill="background2" w:themeFillShade="E6"/>
          </w:tcPr>
          <w:p w14:paraId="2B5C63FD" w14:textId="3C16CE89" w:rsidR="00E15A52" w:rsidRDefault="00E15A52" w:rsidP="008417D5">
            <w:r w:rsidRPr="00E15A52">
              <w:rPr>
                <w:b/>
                <w:bCs/>
              </w:rPr>
              <w:t>Complete.</w:t>
            </w:r>
            <w:r w:rsidRPr="00E15A52">
              <w:t xml:space="preserve"> Business and storefront growth outpaced population growth during the </w:t>
            </w:r>
            <w:proofErr w:type="gramStart"/>
            <w:r w:rsidRPr="00E15A52">
              <w:t>plan</w:t>
            </w:r>
            <w:proofErr w:type="gramEnd"/>
            <w:r w:rsidRPr="00E15A52">
              <w:t xml:space="preserve"> period, reflecting sustained commercial momentum.</w:t>
            </w:r>
          </w:p>
          <w:p w14:paraId="39B6095C" w14:textId="2E187B56" w:rsidR="0091657E" w:rsidRDefault="00FC7EB5" w:rsidP="008417D5">
            <w:r>
              <w:t xml:space="preserve">Past 5 years: </w:t>
            </w:r>
            <w:r w:rsidR="00291530">
              <w:t xml:space="preserve">Avg. </w:t>
            </w:r>
            <w:r>
              <w:t xml:space="preserve">total </w:t>
            </w:r>
            <w:r w:rsidR="00291530">
              <w:t xml:space="preserve">business license growth = 5% per year. </w:t>
            </w:r>
            <w:r>
              <w:t xml:space="preserve">Storefront growth = 4% per year. </w:t>
            </w:r>
            <w:r w:rsidR="00291530">
              <w:t>Avg. pop. growth = 1.6% per year.</w:t>
            </w:r>
          </w:p>
        </w:tc>
      </w:tr>
    </w:tbl>
    <w:p w14:paraId="6357FC06" w14:textId="77777777" w:rsidR="00B86ADE" w:rsidRDefault="00B86ADE">
      <w:pPr>
        <w:rPr>
          <w:b/>
          <w:bCs/>
          <w:color w:val="2F5496" w:themeColor="accent1" w:themeShade="BF"/>
          <w:sz w:val="28"/>
          <w:szCs w:val="28"/>
        </w:rPr>
      </w:pPr>
    </w:p>
    <w:p w14:paraId="52793F2E" w14:textId="2E35DC7A" w:rsidR="007B119E" w:rsidRPr="0070761F" w:rsidRDefault="00F7467E">
      <w:pPr>
        <w:rPr>
          <w:b/>
          <w:bCs/>
          <w:color w:val="2F5496" w:themeColor="accent1" w:themeShade="BF"/>
          <w:sz w:val="28"/>
          <w:szCs w:val="28"/>
        </w:rPr>
      </w:pPr>
      <w:r w:rsidRPr="0070761F">
        <w:rPr>
          <w:b/>
          <w:bCs/>
          <w:color w:val="2F5496" w:themeColor="accent1" w:themeShade="BF"/>
          <w:sz w:val="28"/>
          <w:szCs w:val="28"/>
        </w:rPr>
        <w:t>Governance</w:t>
      </w:r>
    </w:p>
    <w:p w14:paraId="1E1C1A96" w14:textId="39CDAB30" w:rsidR="00090C02" w:rsidRPr="004C44FB" w:rsidRDefault="00F7467E">
      <w:pPr>
        <w:rPr>
          <w:color w:val="2F5496" w:themeColor="accent1" w:themeShade="BF"/>
        </w:rPr>
      </w:pPr>
      <w:r w:rsidRPr="004C44FB">
        <w:rPr>
          <w:color w:val="2F5496" w:themeColor="accent1" w:themeShade="BF"/>
        </w:rPr>
        <w:t>Good governance is imperative to maintaining a healthy, safe</w:t>
      </w:r>
      <w:r w:rsidR="00EF5C76" w:rsidRPr="004C44FB">
        <w:rPr>
          <w:color w:val="2F5496" w:themeColor="accent1" w:themeShade="BF"/>
        </w:rPr>
        <w:t>,</w:t>
      </w:r>
      <w:r w:rsidRPr="004C44FB">
        <w:rPr>
          <w:color w:val="2F5496" w:themeColor="accent1" w:themeShade="BF"/>
        </w:rPr>
        <w:t xml:space="preserve"> and attractive community. The City of Warman benefits from skilled and committed staff. Meanwhile opportunities are emerging from closer regional collaboration. </w:t>
      </w:r>
    </w:p>
    <w:tbl>
      <w:tblPr>
        <w:tblStyle w:val="TableGrid"/>
        <w:tblW w:w="0" w:type="auto"/>
        <w:tblLayout w:type="fixed"/>
        <w:tblLook w:val="04A0" w:firstRow="1" w:lastRow="0" w:firstColumn="1" w:lastColumn="0" w:noHBand="0" w:noVBand="1"/>
      </w:tblPr>
      <w:tblGrid>
        <w:gridCol w:w="2425"/>
        <w:gridCol w:w="1890"/>
        <w:gridCol w:w="1710"/>
        <w:gridCol w:w="3325"/>
      </w:tblGrid>
      <w:tr w:rsidR="008757B6" w14:paraId="09F84B27" w14:textId="77777777" w:rsidTr="006372C3">
        <w:tc>
          <w:tcPr>
            <w:tcW w:w="2425" w:type="dxa"/>
            <w:shd w:val="clear" w:color="auto" w:fill="A8D08D" w:themeFill="accent6" w:themeFillTint="99"/>
          </w:tcPr>
          <w:p w14:paraId="0C31E056" w14:textId="5C4BE61C" w:rsidR="009958C3" w:rsidRDefault="009958C3" w:rsidP="008417D5">
            <w:r>
              <w:t>Initiative</w:t>
            </w:r>
          </w:p>
        </w:tc>
        <w:tc>
          <w:tcPr>
            <w:tcW w:w="1890" w:type="dxa"/>
            <w:shd w:val="clear" w:color="auto" w:fill="A8D08D" w:themeFill="accent6" w:themeFillTint="99"/>
          </w:tcPr>
          <w:p w14:paraId="7077F00C" w14:textId="66C79823" w:rsidR="009958C3" w:rsidRDefault="009958C3" w:rsidP="008417D5">
            <w:r>
              <w:t>Department/Lead</w:t>
            </w:r>
          </w:p>
        </w:tc>
        <w:tc>
          <w:tcPr>
            <w:tcW w:w="1710" w:type="dxa"/>
            <w:shd w:val="clear" w:color="auto" w:fill="A8D08D" w:themeFill="accent6" w:themeFillTint="99"/>
          </w:tcPr>
          <w:p w14:paraId="20354BFD" w14:textId="4926700B" w:rsidR="009958C3" w:rsidRDefault="00B86ADE" w:rsidP="008417D5">
            <w:r w:rsidRPr="00B86ADE">
              <w:t>Expected Completion</w:t>
            </w:r>
          </w:p>
        </w:tc>
        <w:tc>
          <w:tcPr>
            <w:tcW w:w="3325" w:type="dxa"/>
            <w:shd w:val="clear" w:color="auto" w:fill="A8D08D" w:themeFill="accent6" w:themeFillTint="99"/>
          </w:tcPr>
          <w:p w14:paraId="4440EE07" w14:textId="5C93767C" w:rsidR="009958C3" w:rsidRDefault="009958C3" w:rsidP="008417D5">
            <w:r>
              <w:t>Status</w:t>
            </w:r>
          </w:p>
        </w:tc>
      </w:tr>
      <w:tr w:rsidR="008757B6" w14:paraId="0453BD84" w14:textId="77777777" w:rsidTr="006372C3">
        <w:tc>
          <w:tcPr>
            <w:tcW w:w="2425" w:type="dxa"/>
            <w:shd w:val="clear" w:color="auto" w:fill="E2EFD9" w:themeFill="accent6" w:themeFillTint="33"/>
          </w:tcPr>
          <w:p w14:paraId="5406611D" w14:textId="684788AA" w:rsidR="009958C3" w:rsidRDefault="009958C3" w:rsidP="008417D5">
            <w:r>
              <w:t>Continue to promote regional collaboration where it provides the City’s residents with better and more cost-effective services</w:t>
            </w:r>
          </w:p>
        </w:tc>
        <w:tc>
          <w:tcPr>
            <w:tcW w:w="1890" w:type="dxa"/>
            <w:shd w:val="clear" w:color="auto" w:fill="FBE4D5" w:themeFill="accent2" w:themeFillTint="33"/>
          </w:tcPr>
          <w:p w14:paraId="13C86C74" w14:textId="3926FD44" w:rsidR="009958C3" w:rsidRDefault="009958C3" w:rsidP="008417D5">
            <w:r>
              <w:t>P4G Representatives</w:t>
            </w:r>
            <w:r w:rsidR="0001416F">
              <w:t xml:space="preserve"> </w:t>
            </w:r>
            <w:r>
              <w:t>/</w:t>
            </w:r>
            <w:r w:rsidR="0001416F">
              <w:t xml:space="preserve"> </w:t>
            </w:r>
            <w:r>
              <w:t>Planning</w:t>
            </w:r>
            <w:r w:rsidR="0001416F">
              <w:t xml:space="preserve"> &amp; Development</w:t>
            </w:r>
          </w:p>
        </w:tc>
        <w:tc>
          <w:tcPr>
            <w:tcW w:w="1710" w:type="dxa"/>
            <w:shd w:val="clear" w:color="auto" w:fill="70AD47" w:themeFill="accent6"/>
          </w:tcPr>
          <w:p w14:paraId="1A818B6B" w14:textId="2AE13145" w:rsidR="009958C3" w:rsidRPr="00E83724" w:rsidRDefault="00E83724" w:rsidP="008417D5">
            <w:pPr>
              <w:rPr>
                <w:b/>
                <w:bCs/>
              </w:rPr>
            </w:pPr>
            <w:r w:rsidRPr="00E83724">
              <w:rPr>
                <w:b/>
                <w:bCs/>
              </w:rPr>
              <w:t>2025 – Ongoing governance responsibility</w:t>
            </w:r>
          </w:p>
        </w:tc>
        <w:tc>
          <w:tcPr>
            <w:tcW w:w="3325" w:type="dxa"/>
            <w:shd w:val="clear" w:color="auto" w:fill="D0CECE" w:themeFill="background2" w:themeFillShade="E6"/>
          </w:tcPr>
          <w:p w14:paraId="0AF56C98" w14:textId="108BADD5" w:rsidR="009958C3" w:rsidRPr="00F56DED" w:rsidRDefault="00E83724" w:rsidP="008417D5">
            <w:pPr>
              <w:rPr>
                <w:lang w:val="en-CA"/>
              </w:rPr>
            </w:pPr>
            <w:r w:rsidRPr="00E83724">
              <w:rPr>
                <w:b/>
                <w:bCs/>
                <w:lang w:val="en-CA"/>
              </w:rPr>
              <w:t>Ongoing.</w:t>
            </w:r>
            <w:r w:rsidRPr="00E83724">
              <w:rPr>
                <w:lang w:val="en-CA"/>
              </w:rPr>
              <w:t xml:space="preserve"> Regional engagement through P4G and intermunicipal collaboration is embedded in standard governance practices.</w:t>
            </w:r>
          </w:p>
        </w:tc>
      </w:tr>
      <w:tr w:rsidR="008757B6" w14:paraId="119AA29A" w14:textId="77777777" w:rsidTr="006372C3">
        <w:tc>
          <w:tcPr>
            <w:tcW w:w="2425" w:type="dxa"/>
            <w:shd w:val="clear" w:color="auto" w:fill="E2EFD9" w:themeFill="accent6" w:themeFillTint="33"/>
          </w:tcPr>
          <w:p w14:paraId="1B9A3092" w14:textId="71EC2E33" w:rsidR="009958C3" w:rsidRDefault="009958C3" w:rsidP="008417D5">
            <w:r>
              <w:t>Examine a connected pathway to Martensville to improve physical connections</w:t>
            </w:r>
          </w:p>
        </w:tc>
        <w:tc>
          <w:tcPr>
            <w:tcW w:w="1890" w:type="dxa"/>
            <w:shd w:val="clear" w:color="auto" w:fill="FBE4D5" w:themeFill="accent2" w:themeFillTint="33"/>
          </w:tcPr>
          <w:p w14:paraId="05460CB0" w14:textId="1B121CC0" w:rsidR="009958C3" w:rsidRDefault="009958C3" w:rsidP="008417D5">
            <w:r>
              <w:t>Planning</w:t>
            </w:r>
            <w:r w:rsidR="00595E8E">
              <w:t xml:space="preserve"> &amp; Development</w:t>
            </w:r>
          </w:p>
        </w:tc>
        <w:tc>
          <w:tcPr>
            <w:tcW w:w="1710" w:type="dxa"/>
            <w:shd w:val="clear" w:color="auto" w:fill="70AD47" w:themeFill="accent6"/>
          </w:tcPr>
          <w:p w14:paraId="641D5098" w14:textId="0A5E2B83" w:rsidR="009958C3" w:rsidRPr="006372C3" w:rsidRDefault="009958C3" w:rsidP="008417D5">
            <w:pPr>
              <w:rPr>
                <w:b/>
                <w:bCs/>
              </w:rPr>
            </w:pPr>
            <w:r w:rsidRPr="006372C3">
              <w:rPr>
                <w:b/>
                <w:bCs/>
              </w:rPr>
              <w:t>2022</w:t>
            </w:r>
          </w:p>
        </w:tc>
        <w:tc>
          <w:tcPr>
            <w:tcW w:w="3325" w:type="dxa"/>
            <w:shd w:val="clear" w:color="auto" w:fill="D0CECE" w:themeFill="background2" w:themeFillShade="E6"/>
          </w:tcPr>
          <w:p w14:paraId="6B615F87" w14:textId="02B6ABA1" w:rsidR="009958C3" w:rsidRPr="00C40174" w:rsidRDefault="006372C3" w:rsidP="00C40174">
            <w:pPr>
              <w:rPr>
                <w:lang w:val="en-CA"/>
              </w:rPr>
            </w:pPr>
            <w:r w:rsidRPr="006372C3">
              <w:rPr>
                <w:b/>
                <w:bCs/>
                <w:lang w:val="en-CA"/>
              </w:rPr>
              <w:t>Substantially Advanced</w:t>
            </w:r>
            <w:r w:rsidRPr="006372C3">
              <w:rPr>
                <w:lang w:val="en-CA"/>
              </w:rPr>
              <w:t>. Regional planning studies developed viable connection options. Implementation remains dependent on future funding</w:t>
            </w:r>
            <w:r w:rsidR="00554D3A">
              <w:rPr>
                <w:lang w:val="en-CA"/>
              </w:rPr>
              <w:t xml:space="preserve">, </w:t>
            </w:r>
            <w:r w:rsidRPr="006372C3">
              <w:rPr>
                <w:lang w:val="en-CA"/>
              </w:rPr>
              <w:t>regional coordination</w:t>
            </w:r>
            <w:r w:rsidR="00554D3A">
              <w:rPr>
                <w:lang w:val="en-CA"/>
              </w:rPr>
              <w:t xml:space="preserve"> and Council priorities</w:t>
            </w:r>
            <w:r w:rsidRPr="006372C3">
              <w:rPr>
                <w:lang w:val="en-CA"/>
              </w:rPr>
              <w:t>.</w:t>
            </w:r>
          </w:p>
        </w:tc>
      </w:tr>
      <w:tr w:rsidR="008757B6" w14:paraId="0A5CEA1F" w14:textId="77777777" w:rsidTr="006372C3">
        <w:tc>
          <w:tcPr>
            <w:tcW w:w="2425" w:type="dxa"/>
            <w:shd w:val="clear" w:color="auto" w:fill="E2EFD9" w:themeFill="accent6" w:themeFillTint="33"/>
          </w:tcPr>
          <w:p w14:paraId="745C986D" w14:textId="3134949B" w:rsidR="009958C3" w:rsidRDefault="009958C3" w:rsidP="008417D5">
            <w:r>
              <w:t>Communicate and celebrate successes</w:t>
            </w:r>
          </w:p>
        </w:tc>
        <w:tc>
          <w:tcPr>
            <w:tcW w:w="1890" w:type="dxa"/>
            <w:shd w:val="clear" w:color="auto" w:fill="FBE4D5" w:themeFill="accent2" w:themeFillTint="33"/>
          </w:tcPr>
          <w:p w14:paraId="1F508D6D" w14:textId="5DD765E2" w:rsidR="009958C3" w:rsidRDefault="009958C3" w:rsidP="008417D5">
            <w:r>
              <w:t>Executive Assistant &amp; Communications Liaison</w:t>
            </w:r>
          </w:p>
        </w:tc>
        <w:tc>
          <w:tcPr>
            <w:tcW w:w="1710" w:type="dxa"/>
            <w:shd w:val="clear" w:color="auto" w:fill="70AD47" w:themeFill="accent6"/>
          </w:tcPr>
          <w:p w14:paraId="3078D86F" w14:textId="763F6011" w:rsidR="009958C3" w:rsidRPr="006372C3" w:rsidRDefault="006372C3" w:rsidP="008417D5">
            <w:pPr>
              <w:rPr>
                <w:b/>
                <w:bCs/>
              </w:rPr>
            </w:pPr>
            <w:r w:rsidRPr="006372C3">
              <w:rPr>
                <w:b/>
                <w:bCs/>
              </w:rPr>
              <w:t>2025 – Operationalized</w:t>
            </w:r>
          </w:p>
        </w:tc>
        <w:tc>
          <w:tcPr>
            <w:tcW w:w="3325" w:type="dxa"/>
            <w:shd w:val="clear" w:color="auto" w:fill="D0CECE" w:themeFill="background2" w:themeFillShade="E6"/>
          </w:tcPr>
          <w:p w14:paraId="704E63F0" w14:textId="480ED8F7" w:rsidR="009958C3" w:rsidRDefault="006372C3" w:rsidP="008417D5">
            <w:r w:rsidRPr="006372C3">
              <w:rPr>
                <w:b/>
                <w:bCs/>
              </w:rPr>
              <w:t>Complete</w:t>
            </w:r>
            <w:r w:rsidRPr="006372C3">
              <w:t>. Corporate communications capacity increased, and recognition activities are now part of standard operations.</w:t>
            </w:r>
          </w:p>
        </w:tc>
      </w:tr>
      <w:tr w:rsidR="008757B6" w14:paraId="6565D6B6" w14:textId="77777777" w:rsidTr="006372C3">
        <w:tc>
          <w:tcPr>
            <w:tcW w:w="2425" w:type="dxa"/>
            <w:shd w:val="clear" w:color="auto" w:fill="E2EFD9" w:themeFill="accent6" w:themeFillTint="33"/>
          </w:tcPr>
          <w:p w14:paraId="298E6B86" w14:textId="39037F53" w:rsidR="009958C3" w:rsidRPr="006372C3" w:rsidRDefault="009958C3" w:rsidP="008417D5">
            <w:pPr>
              <w:rPr>
                <w:highlight w:val="yellow"/>
              </w:rPr>
            </w:pPr>
            <w:r w:rsidRPr="006614DC">
              <w:t>Bring back the Spring Open House once it is safe to host public gatherings</w:t>
            </w:r>
          </w:p>
        </w:tc>
        <w:tc>
          <w:tcPr>
            <w:tcW w:w="1890" w:type="dxa"/>
            <w:shd w:val="clear" w:color="auto" w:fill="FBE4D5" w:themeFill="accent2" w:themeFillTint="33"/>
          </w:tcPr>
          <w:p w14:paraId="57BFB95D" w14:textId="725BB120" w:rsidR="009958C3" w:rsidRDefault="009958C3" w:rsidP="008417D5">
            <w:r>
              <w:t>Economic Development Officer/Communications Liaison</w:t>
            </w:r>
          </w:p>
        </w:tc>
        <w:tc>
          <w:tcPr>
            <w:tcW w:w="1710" w:type="dxa"/>
            <w:shd w:val="clear" w:color="auto" w:fill="70AD47" w:themeFill="accent6"/>
          </w:tcPr>
          <w:p w14:paraId="3F4C31D1" w14:textId="5BCBE92B" w:rsidR="009958C3" w:rsidRPr="006372C3" w:rsidRDefault="009958C3" w:rsidP="008417D5">
            <w:pPr>
              <w:rPr>
                <w:b/>
                <w:bCs/>
              </w:rPr>
            </w:pPr>
            <w:r w:rsidRPr="006372C3">
              <w:rPr>
                <w:b/>
                <w:bCs/>
              </w:rPr>
              <w:t>2022</w:t>
            </w:r>
          </w:p>
        </w:tc>
        <w:tc>
          <w:tcPr>
            <w:tcW w:w="3325" w:type="dxa"/>
            <w:shd w:val="clear" w:color="auto" w:fill="D0CECE" w:themeFill="background2" w:themeFillShade="E6"/>
          </w:tcPr>
          <w:p w14:paraId="7136FBC6" w14:textId="6C70C425" w:rsidR="009958C3" w:rsidRDefault="006614DC" w:rsidP="008417D5">
            <w:r w:rsidRPr="006614DC">
              <w:rPr>
                <w:b/>
                <w:bCs/>
              </w:rPr>
              <w:t>Complete.</w:t>
            </w:r>
            <w:r w:rsidRPr="006614DC">
              <w:t xml:space="preserve"> The Spring Open House was successfully reinstated following the pandemic period. In 2025, the Communications Liaison proposed piloting a revised engagement format by combining the Open House concept with WOBE in the fall rather than hosting a standalone spring event. Administration is open to Council feedback on the effectiveness of this format and whether to continue with the combined model or return to the traditional standalone Spring Open House.</w:t>
            </w:r>
          </w:p>
        </w:tc>
      </w:tr>
      <w:tr w:rsidR="008757B6" w14:paraId="01D540B0" w14:textId="77777777" w:rsidTr="006372C3">
        <w:tc>
          <w:tcPr>
            <w:tcW w:w="2425" w:type="dxa"/>
            <w:shd w:val="clear" w:color="auto" w:fill="E2EFD9" w:themeFill="accent6" w:themeFillTint="33"/>
          </w:tcPr>
          <w:p w14:paraId="0EEAE0A8" w14:textId="7F4AC459" w:rsidR="009958C3" w:rsidRDefault="009958C3" w:rsidP="008417D5">
            <w:r>
              <w:t>Assess workforce needs and examine opportunities to bring environmental and engineering services in-house</w:t>
            </w:r>
          </w:p>
        </w:tc>
        <w:tc>
          <w:tcPr>
            <w:tcW w:w="1890" w:type="dxa"/>
            <w:shd w:val="clear" w:color="auto" w:fill="FBE4D5" w:themeFill="accent2" w:themeFillTint="33"/>
          </w:tcPr>
          <w:p w14:paraId="63B94D05" w14:textId="49A2AE32" w:rsidR="009958C3" w:rsidRDefault="009958C3" w:rsidP="008417D5">
            <w:r>
              <w:t>City Manager/</w:t>
            </w:r>
            <w:r w:rsidR="00595E8E">
              <w:t>Finance</w:t>
            </w:r>
            <w:r>
              <w:t xml:space="preserve"> </w:t>
            </w:r>
          </w:p>
        </w:tc>
        <w:tc>
          <w:tcPr>
            <w:tcW w:w="1710" w:type="dxa"/>
            <w:shd w:val="clear" w:color="auto" w:fill="70AD47" w:themeFill="accent6"/>
          </w:tcPr>
          <w:p w14:paraId="084163C7" w14:textId="5D492F37" w:rsidR="009958C3" w:rsidRPr="006372C3" w:rsidRDefault="006372C3" w:rsidP="008417D5">
            <w:pPr>
              <w:rPr>
                <w:b/>
                <w:bCs/>
              </w:rPr>
            </w:pPr>
            <w:r w:rsidRPr="006372C3">
              <w:rPr>
                <w:b/>
                <w:bCs/>
              </w:rPr>
              <w:t>2025 – Organizational capacity building</w:t>
            </w:r>
          </w:p>
        </w:tc>
        <w:tc>
          <w:tcPr>
            <w:tcW w:w="3325" w:type="dxa"/>
            <w:shd w:val="clear" w:color="auto" w:fill="D0CECE" w:themeFill="background2" w:themeFillShade="E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6372C3" w:rsidRPr="006372C3" w14:paraId="6139E54B" w14:textId="77777777" w:rsidTr="006372C3">
              <w:trPr>
                <w:trHeight w:val="29"/>
                <w:tblCellSpacing w:w="15" w:type="dxa"/>
              </w:trPr>
              <w:tc>
                <w:tcPr>
                  <w:tcW w:w="36" w:type="dxa"/>
                  <w:vAlign w:val="center"/>
                  <w:hideMark/>
                </w:tcPr>
                <w:p w14:paraId="70CF7149" w14:textId="77777777" w:rsidR="006372C3" w:rsidRPr="006372C3" w:rsidRDefault="006372C3" w:rsidP="006372C3">
                  <w:pPr>
                    <w:spacing w:after="0" w:line="240" w:lineRule="auto"/>
                    <w:rPr>
                      <w:lang w:val="en-CA"/>
                    </w:rPr>
                  </w:pPr>
                </w:p>
              </w:tc>
            </w:tr>
          </w:tbl>
          <w:p w14:paraId="051E5E1E" w14:textId="27BF73A2" w:rsidR="006372C3" w:rsidRPr="006372C3" w:rsidRDefault="006372C3" w:rsidP="006372C3">
            <w:pPr>
              <w:rPr>
                <w:vanish/>
                <w:lang w:val="en-CA"/>
              </w:rPr>
            </w:pPr>
            <w:r w:rsidRPr="006372C3">
              <w:rPr>
                <w:b/>
                <w:bCs/>
                <w:lang w:val="en-CA"/>
              </w:rPr>
              <w:t>Substantially Advanced</w:t>
            </w:r>
            <w:r w:rsidRPr="006372C3">
              <w:rPr>
                <w:lang w:val="en-CA"/>
              </w:rPr>
              <w:t xml:space="preserve">. Technical capacity expanded through </w:t>
            </w:r>
            <w:r w:rsidR="00FD317B">
              <w:rPr>
                <w:lang w:val="en-CA"/>
              </w:rPr>
              <w:t>the addition of technical leadership capacity</w:t>
            </w:r>
            <w:r>
              <w:rPr>
                <w:lang w:val="en-CA"/>
              </w:rPr>
              <w:t xml:space="preserve"> </w:t>
            </w:r>
            <w:r w:rsidR="00FD317B">
              <w:rPr>
                <w:lang w:val="en-CA"/>
              </w:rPr>
              <w:t>(</w:t>
            </w:r>
            <w:r>
              <w:rPr>
                <w:lang w:val="en-CA"/>
              </w:rPr>
              <w:t>Director of Infrastructure</w:t>
            </w:r>
            <w:r w:rsidR="00FD317B">
              <w:rPr>
                <w:lang w:val="en-CA"/>
              </w:rPr>
              <w:t>)</w:t>
            </w:r>
            <w:r w:rsidRPr="006372C3">
              <w:rPr>
                <w:lang w:val="en-CA"/>
              </w:rPr>
              <w:t>. Workforce planning remains an evolving priority aligned with growth and service complexity.</w:t>
            </w:r>
          </w:p>
          <w:p w14:paraId="56CC974D" w14:textId="267EFD7D" w:rsidR="009958C3" w:rsidRDefault="009958C3" w:rsidP="008417D5"/>
        </w:tc>
      </w:tr>
      <w:tr w:rsidR="008757B6" w14:paraId="56DCA6E7" w14:textId="77777777" w:rsidTr="006372C3">
        <w:tc>
          <w:tcPr>
            <w:tcW w:w="2425" w:type="dxa"/>
            <w:shd w:val="clear" w:color="auto" w:fill="E2EFD9" w:themeFill="accent6" w:themeFillTint="33"/>
          </w:tcPr>
          <w:p w14:paraId="6D1F6000" w14:textId="65CD0099" w:rsidR="009958C3" w:rsidRDefault="009958C3" w:rsidP="008417D5">
            <w:r>
              <w:t>Examine the City’s asset management philosophy and establish a policy on the costs and benefits of saving versus borrowing for both existing and new infrastructure</w:t>
            </w:r>
          </w:p>
        </w:tc>
        <w:tc>
          <w:tcPr>
            <w:tcW w:w="1890" w:type="dxa"/>
            <w:shd w:val="clear" w:color="auto" w:fill="FBE4D5" w:themeFill="accent2" w:themeFillTint="33"/>
          </w:tcPr>
          <w:p w14:paraId="67B2C574" w14:textId="6A7130C9" w:rsidR="009958C3" w:rsidRDefault="00CF035F" w:rsidP="008417D5">
            <w:r>
              <w:t>Infrastructure</w:t>
            </w:r>
            <w:r w:rsidR="009958C3">
              <w:t xml:space="preserve"> </w:t>
            </w:r>
          </w:p>
        </w:tc>
        <w:tc>
          <w:tcPr>
            <w:tcW w:w="1710" w:type="dxa"/>
            <w:shd w:val="clear" w:color="auto" w:fill="ED7D31" w:themeFill="accent2"/>
          </w:tcPr>
          <w:p w14:paraId="69B10D40" w14:textId="1A47C5AD" w:rsidR="009958C3" w:rsidRPr="006372C3" w:rsidRDefault="006372C3" w:rsidP="008417D5">
            <w:pPr>
              <w:rPr>
                <w:b/>
                <w:bCs/>
              </w:rPr>
            </w:pPr>
            <w:r w:rsidRPr="006372C3">
              <w:rPr>
                <w:b/>
                <w:bCs/>
              </w:rPr>
              <w:t>2025 – Framework established</w:t>
            </w:r>
          </w:p>
        </w:tc>
        <w:tc>
          <w:tcPr>
            <w:tcW w:w="3325" w:type="dxa"/>
            <w:shd w:val="clear" w:color="auto" w:fill="D0CECE" w:themeFill="background2" w:themeFillShade="E6"/>
          </w:tcPr>
          <w:p w14:paraId="504DE1CF" w14:textId="445A1408" w:rsidR="009958C3" w:rsidRDefault="006372C3" w:rsidP="008417D5">
            <w:r w:rsidRPr="006372C3">
              <w:rPr>
                <w:b/>
                <w:bCs/>
              </w:rPr>
              <w:t>Substantially Advanced</w:t>
            </w:r>
            <w:r w:rsidRPr="006372C3">
              <w:t xml:space="preserve">. Asset management strategy and policy frameworks were established, with ongoing </w:t>
            </w:r>
            <w:r>
              <w:t xml:space="preserve">work expected </w:t>
            </w:r>
            <w:r w:rsidRPr="006372C3">
              <w:t>under technical leadership</w:t>
            </w:r>
            <w:r w:rsidR="00554D3A">
              <w:t xml:space="preserve"> (Director role)</w:t>
            </w:r>
            <w:r w:rsidRPr="006372C3">
              <w:t>.</w:t>
            </w:r>
            <w:r w:rsidR="0001416F">
              <w:t xml:space="preserve"> </w:t>
            </w:r>
          </w:p>
        </w:tc>
      </w:tr>
      <w:tr w:rsidR="008757B6" w14:paraId="0491B572" w14:textId="77777777" w:rsidTr="006372C3">
        <w:tc>
          <w:tcPr>
            <w:tcW w:w="2425" w:type="dxa"/>
            <w:shd w:val="clear" w:color="auto" w:fill="E2EFD9" w:themeFill="accent6" w:themeFillTint="33"/>
          </w:tcPr>
          <w:p w14:paraId="69FBCA8D" w14:textId="0F8D76AD" w:rsidR="009958C3" w:rsidRDefault="009958C3" w:rsidP="008417D5">
            <w:r>
              <w:t>Continue to lobby other levels of government for equitable funding and advocate for the best interests of the citizens of Warman</w:t>
            </w:r>
          </w:p>
        </w:tc>
        <w:tc>
          <w:tcPr>
            <w:tcW w:w="1890" w:type="dxa"/>
            <w:shd w:val="clear" w:color="auto" w:fill="FBE4D5" w:themeFill="accent2" w:themeFillTint="33"/>
          </w:tcPr>
          <w:p w14:paraId="7B966CDE" w14:textId="7E367ADF" w:rsidR="009958C3" w:rsidRDefault="009958C3" w:rsidP="008417D5">
            <w:r>
              <w:t xml:space="preserve">City Council </w:t>
            </w:r>
          </w:p>
        </w:tc>
        <w:tc>
          <w:tcPr>
            <w:tcW w:w="1710" w:type="dxa"/>
            <w:shd w:val="clear" w:color="auto" w:fill="ED7D31" w:themeFill="accent2"/>
          </w:tcPr>
          <w:p w14:paraId="30C6D5EB" w14:textId="3AE40605" w:rsidR="009958C3" w:rsidRPr="00F6237C" w:rsidRDefault="00F6237C" w:rsidP="008417D5">
            <w:pPr>
              <w:rPr>
                <w:b/>
                <w:bCs/>
              </w:rPr>
            </w:pPr>
            <w:r w:rsidRPr="00F6237C">
              <w:rPr>
                <w:b/>
                <w:bCs/>
              </w:rPr>
              <w:t>2025 – Ongoing governance responsibility</w:t>
            </w:r>
          </w:p>
        </w:tc>
        <w:tc>
          <w:tcPr>
            <w:tcW w:w="3325" w:type="dxa"/>
            <w:shd w:val="clear" w:color="auto" w:fill="D0CECE" w:themeFill="background2" w:themeFillShade="E6"/>
          </w:tcPr>
          <w:p w14:paraId="54DB8532" w14:textId="2BBD74FA" w:rsidR="009958C3" w:rsidRDefault="00F6237C" w:rsidP="008417D5">
            <w:r w:rsidRPr="00F6237C">
              <w:rPr>
                <w:b/>
                <w:bCs/>
              </w:rPr>
              <w:t>Ongoing.</w:t>
            </w:r>
            <w:r w:rsidRPr="00F6237C">
              <w:t xml:space="preserve"> Advocacy remains a core governance function, with continued engagement across provincial and federal sectors.</w:t>
            </w:r>
          </w:p>
        </w:tc>
      </w:tr>
      <w:tr w:rsidR="008757B6" w14:paraId="7B2A56C4" w14:textId="77777777" w:rsidTr="00C37F57">
        <w:tc>
          <w:tcPr>
            <w:tcW w:w="2425" w:type="dxa"/>
            <w:shd w:val="clear" w:color="auto" w:fill="E2EFD9" w:themeFill="accent6" w:themeFillTint="33"/>
          </w:tcPr>
          <w:p w14:paraId="64EA8791" w14:textId="568AC04A" w:rsidR="009958C3" w:rsidRDefault="009958C3" w:rsidP="008417D5">
            <w:r>
              <w:t>Monitor and implement the City’s environmental master plan, including meeting the Federation of Canadian Municipalities’ climate protection milestone #4</w:t>
            </w:r>
          </w:p>
        </w:tc>
        <w:tc>
          <w:tcPr>
            <w:tcW w:w="1890" w:type="dxa"/>
            <w:shd w:val="clear" w:color="auto" w:fill="FBE4D5" w:themeFill="accent2" w:themeFillTint="33"/>
          </w:tcPr>
          <w:p w14:paraId="145FA583" w14:textId="7657AB42" w:rsidR="009958C3" w:rsidRDefault="009958C3" w:rsidP="008417D5">
            <w:r>
              <w:t>City Manager</w:t>
            </w:r>
          </w:p>
        </w:tc>
        <w:tc>
          <w:tcPr>
            <w:tcW w:w="1710" w:type="dxa"/>
            <w:shd w:val="clear" w:color="auto" w:fill="ED7D31" w:themeFill="accent2"/>
          </w:tcPr>
          <w:p w14:paraId="2097917B" w14:textId="0DDA745E" w:rsidR="009958C3" w:rsidRPr="00656067" w:rsidRDefault="00656067" w:rsidP="008417D5">
            <w:pPr>
              <w:rPr>
                <w:b/>
                <w:bCs/>
              </w:rPr>
            </w:pPr>
            <w:r w:rsidRPr="00656067">
              <w:rPr>
                <w:b/>
                <w:bCs/>
              </w:rPr>
              <w:t>Beyond 2025 – Resource and priority dependent</w:t>
            </w:r>
          </w:p>
        </w:tc>
        <w:tc>
          <w:tcPr>
            <w:tcW w:w="3325" w:type="dxa"/>
            <w:shd w:val="clear" w:color="auto" w:fill="D0CECE" w:themeFill="background2" w:themeFillShade="E6"/>
          </w:tcPr>
          <w:p w14:paraId="345D5248" w14:textId="725ED44B" w:rsidR="009958C3" w:rsidRDefault="00656067" w:rsidP="008417D5">
            <w:r w:rsidRPr="00656067">
              <w:rPr>
                <w:b/>
                <w:bCs/>
              </w:rPr>
              <w:t>Substantially Advanced</w:t>
            </w:r>
            <w:r w:rsidRPr="00656067">
              <w:t>. Earlier milestones were achieved</w:t>
            </w:r>
            <w:r>
              <w:t xml:space="preserve"> (milestone #3 in June 2022)</w:t>
            </w:r>
            <w:r w:rsidRPr="00656067">
              <w:t>; progress toward higher milestones slowed as focus shifted to growth and infrastructure priorities. Environmental considerations continue to be integrated into asset management and planning practices.</w:t>
            </w:r>
            <w:r w:rsidR="00CF035F">
              <w:t xml:space="preserve"> </w:t>
            </w:r>
          </w:p>
        </w:tc>
      </w:tr>
    </w:tbl>
    <w:p w14:paraId="78966283" w14:textId="77777777" w:rsidR="00090C02" w:rsidRDefault="00090C02" w:rsidP="00A450AF"/>
    <w:sectPr w:rsidR="00090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02"/>
    <w:rsid w:val="0001416F"/>
    <w:rsid w:val="000256D9"/>
    <w:rsid w:val="00080461"/>
    <w:rsid w:val="00090C02"/>
    <w:rsid w:val="000A5FF5"/>
    <w:rsid w:val="000B2774"/>
    <w:rsid w:val="000B7B18"/>
    <w:rsid w:val="000D3CEC"/>
    <w:rsid w:val="000E25FA"/>
    <w:rsid w:val="00117567"/>
    <w:rsid w:val="00153D23"/>
    <w:rsid w:val="00166B0B"/>
    <w:rsid w:val="001907A3"/>
    <w:rsid w:val="0024474A"/>
    <w:rsid w:val="00291530"/>
    <w:rsid w:val="002931AF"/>
    <w:rsid w:val="002A5AA6"/>
    <w:rsid w:val="002E2166"/>
    <w:rsid w:val="002F3FB7"/>
    <w:rsid w:val="00364F3B"/>
    <w:rsid w:val="003D5221"/>
    <w:rsid w:val="00426585"/>
    <w:rsid w:val="00441FF2"/>
    <w:rsid w:val="00491B01"/>
    <w:rsid w:val="004A32DB"/>
    <w:rsid w:val="004C44FB"/>
    <w:rsid w:val="00554D3A"/>
    <w:rsid w:val="00590610"/>
    <w:rsid w:val="00592D66"/>
    <w:rsid w:val="00595E8E"/>
    <w:rsid w:val="005F617D"/>
    <w:rsid w:val="00626C23"/>
    <w:rsid w:val="006372C3"/>
    <w:rsid w:val="00656067"/>
    <w:rsid w:val="00660F85"/>
    <w:rsid w:val="006614DC"/>
    <w:rsid w:val="006C2C7A"/>
    <w:rsid w:val="007075AF"/>
    <w:rsid w:val="0070761F"/>
    <w:rsid w:val="007161A5"/>
    <w:rsid w:val="007318D7"/>
    <w:rsid w:val="007351A4"/>
    <w:rsid w:val="00745979"/>
    <w:rsid w:val="00755CE8"/>
    <w:rsid w:val="00776414"/>
    <w:rsid w:val="007B119E"/>
    <w:rsid w:val="007D5531"/>
    <w:rsid w:val="007E23AD"/>
    <w:rsid w:val="007E6F70"/>
    <w:rsid w:val="008055D1"/>
    <w:rsid w:val="0081213D"/>
    <w:rsid w:val="0083296F"/>
    <w:rsid w:val="008417D5"/>
    <w:rsid w:val="00874460"/>
    <w:rsid w:val="008757B6"/>
    <w:rsid w:val="0087795B"/>
    <w:rsid w:val="008D2361"/>
    <w:rsid w:val="008E4934"/>
    <w:rsid w:val="00910999"/>
    <w:rsid w:val="0091657E"/>
    <w:rsid w:val="00961BCF"/>
    <w:rsid w:val="00976F17"/>
    <w:rsid w:val="00976F8F"/>
    <w:rsid w:val="009818D1"/>
    <w:rsid w:val="009841C3"/>
    <w:rsid w:val="009958C3"/>
    <w:rsid w:val="00995B74"/>
    <w:rsid w:val="009A24B3"/>
    <w:rsid w:val="009F1666"/>
    <w:rsid w:val="00A10409"/>
    <w:rsid w:val="00A14367"/>
    <w:rsid w:val="00A34AFB"/>
    <w:rsid w:val="00A450AF"/>
    <w:rsid w:val="00AE0237"/>
    <w:rsid w:val="00B21573"/>
    <w:rsid w:val="00B40680"/>
    <w:rsid w:val="00B738AA"/>
    <w:rsid w:val="00B86ADE"/>
    <w:rsid w:val="00B956D8"/>
    <w:rsid w:val="00C33B5B"/>
    <w:rsid w:val="00C37F57"/>
    <w:rsid w:val="00C40174"/>
    <w:rsid w:val="00C57C0F"/>
    <w:rsid w:val="00C734AB"/>
    <w:rsid w:val="00C86761"/>
    <w:rsid w:val="00CF035F"/>
    <w:rsid w:val="00D84916"/>
    <w:rsid w:val="00DA0716"/>
    <w:rsid w:val="00DB32FB"/>
    <w:rsid w:val="00DF6F59"/>
    <w:rsid w:val="00E15A52"/>
    <w:rsid w:val="00E3667D"/>
    <w:rsid w:val="00E40EE2"/>
    <w:rsid w:val="00E63D2F"/>
    <w:rsid w:val="00E80146"/>
    <w:rsid w:val="00E83724"/>
    <w:rsid w:val="00EE0458"/>
    <w:rsid w:val="00EF4732"/>
    <w:rsid w:val="00EF5C76"/>
    <w:rsid w:val="00F37B41"/>
    <w:rsid w:val="00F56DED"/>
    <w:rsid w:val="00F6237C"/>
    <w:rsid w:val="00F70E76"/>
    <w:rsid w:val="00F7467E"/>
    <w:rsid w:val="00F853DA"/>
    <w:rsid w:val="00FC7EB5"/>
    <w:rsid w:val="00FD3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B005"/>
  <w15:chartTrackingRefBased/>
  <w15:docId w15:val="{3704A0E8-46CE-4A29-BD11-C5D9F1C2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76F8F"/>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2E2166"/>
    <w:rPr>
      <w:b/>
      <w:bCs/>
    </w:rPr>
  </w:style>
  <w:style w:type="paragraph" w:styleId="NoSpacing">
    <w:name w:val="No Spacing"/>
    <w:uiPriority w:val="1"/>
    <w:qFormat/>
    <w:rsid w:val="00554D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135877">
      <w:bodyDiv w:val="1"/>
      <w:marLeft w:val="0"/>
      <w:marRight w:val="0"/>
      <w:marTop w:val="0"/>
      <w:marBottom w:val="0"/>
      <w:divBdr>
        <w:top w:val="none" w:sz="0" w:space="0" w:color="auto"/>
        <w:left w:val="none" w:sz="0" w:space="0" w:color="auto"/>
        <w:bottom w:val="none" w:sz="0" w:space="0" w:color="auto"/>
        <w:right w:val="none" w:sz="0" w:space="0" w:color="auto"/>
      </w:divBdr>
    </w:div>
    <w:div w:id="534739027">
      <w:bodyDiv w:val="1"/>
      <w:marLeft w:val="0"/>
      <w:marRight w:val="0"/>
      <w:marTop w:val="0"/>
      <w:marBottom w:val="0"/>
      <w:divBdr>
        <w:top w:val="none" w:sz="0" w:space="0" w:color="auto"/>
        <w:left w:val="none" w:sz="0" w:space="0" w:color="auto"/>
        <w:bottom w:val="none" w:sz="0" w:space="0" w:color="auto"/>
        <w:right w:val="none" w:sz="0" w:space="0" w:color="auto"/>
      </w:divBdr>
    </w:div>
    <w:div w:id="569771222">
      <w:bodyDiv w:val="1"/>
      <w:marLeft w:val="0"/>
      <w:marRight w:val="0"/>
      <w:marTop w:val="0"/>
      <w:marBottom w:val="0"/>
      <w:divBdr>
        <w:top w:val="none" w:sz="0" w:space="0" w:color="auto"/>
        <w:left w:val="none" w:sz="0" w:space="0" w:color="auto"/>
        <w:bottom w:val="none" w:sz="0" w:space="0" w:color="auto"/>
        <w:right w:val="none" w:sz="0" w:space="0" w:color="auto"/>
      </w:divBdr>
    </w:div>
    <w:div w:id="688024880">
      <w:bodyDiv w:val="1"/>
      <w:marLeft w:val="0"/>
      <w:marRight w:val="0"/>
      <w:marTop w:val="0"/>
      <w:marBottom w:val="0"/>
      <w:divBdr>
        <w:top w:val="none" w:sz="0" w:space="0" w:color="auto"/>
        <w:left w:val="none" w:sz="0" w:space="0" w:color="auto"/>
        <w:bottom w:val="none" w:sz="0" w:space="0" w:color="auto"/>
        <w:right w:val="none" w:sz="0" w:space="0" w:color="auto"/>
      </w:divBdr>
    </w:div>
    <w:div w:id="814251870">
      <w:bodyDiv w:val="1"/>
      <w:marLeft w:val="0"/>
      <w:marRight w:val="0"/>
      <w:marTop w:val="0"/>
      <w:marBottom w:val="0"/>
      <w:divBdr>
        <w:top w:val="none" w:sz="0" w:space="0" w:color="auto"/>
        <w:left w:val="none" w:sz="0" w:space="0" w:color="auto"/>
        <w:bottom w:val="none" w:sz="0" w:space="0" w:color="auto"/>
        <w:right w:val="none" w:sz="0" w:space="0" w:color="auto"/>
      </w:divBdr>
    </w:div>
    <w:div w:id="953318599">
      <w:bodyDiv w:val="1"/>
      <w:marLeft w:val="0"/>
      <w:marRight w:val="0"/>
      <w:marTop w:val="0"/>
      <w:marBottom w:val="0"/>
      <w:divBdr>
        <w:top w:val="none" w:sz="0" w:space="0" w:color="auto"/>
        <w:left w:val="none" w:sz="0" w:space="0" w:color="auto"/>
        <w:bottom w:val="none" w:sz="0" w:space="0" w:color="auto"/>
        <w:right w:val="none" w:sz="0" w:space="0" w:color="auto"/>
      </w:divBdr>
    </w:div>
    <w:div w:id="1372266272">
      <w:bodyDiv w:val="1"/>
      <w:marLeft w:val="0"/>
      <w:marRight w:val="0"/>
      <w:marTop w:val="0"/>
      <w:marBottom w:val="0"/>
      <w:divBdr>
        <w:top w:val="none" w:sz="0" w:space="0" w:color="auto"/>
        <w:left w:val="none" w:sz="0" w:space="0" w:color="auto"/>
        <w:bottom w:val="none" w:sz="0" w:space="0" w:color="auto"/>
        <w:right w:val="none" w:sz="0" w:space="0" w:color="auto"/>
      </w:divBdr>
    </w:div>
    <w:div w:id="18293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16A43-83F8-4A03-A60A-2F0E67A52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6</Pages>
  <Words>1491</Words>
  <Characters>9870</Characters>
  <Application>Microsoft Office Word</Application>
  <DocSecurity>0</DocSecurity>
  <Lines>498</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Smith</dc:creator>
  <cp:keywords/>
  <dc:description/>
  <cp:lastModifiedBy>Amanda Rosenthal-Hiebert</cp:lastModifiedBy>
  <cp:revision>23</cp:revision>
  <cp:lastPrinted>2022-10-07T15:13:00Z</cp:lastPrinted>
  <dcterms:created xsi:type="dcterms:W3CDTF">2026-01-26T21:23:00Z</dcterms:created>
  <dcterms:modified xsi:type="dcterms:W3CDTF">2026-02-10T15:42:00Z</dcterms:modified>
</cp:coreProperties>
</file>